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D9C90" w14:textId="77777777" w:rsidR="00F5037E" w:rsidRDefault="00752F86">
      <w:pPr>
        <w:spacing w:after="200"/>
      </w:pPr>
      <w:r>
        <w:rPr>
          <w:noProof/>
        </w:rPr>
        <w:drawing>
          <wp:inline distT="0" distB="0" distL="0" distR="0" wp14:anchorId="5D394A4D" wp14:editId="79E45E9C">
            <wp:extent cx="2331720" cy="12372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_logo.png"/>
                    <pic:cNvPicPr/>
                  </pic:nvPicPr>
                  <pic:blipFill>
                    <a:blip r:embed="rId8"/>
                    <a:stretch>
                      <a:fillRect/>
                    </a:stretch>
                  </pic:blipFill>
                  <pic:spPr>
                    <a:xfrm>
                      <a:off x="0" y="0"/>
                      <a:ext cx="2331720" cy="1237239"/>
                    </a:xfrm>
                    <a:prstGeom prst="rect">
                      <a:avLst/>
                    </a:prstGeom>
                  </pic:spPr>
                </pic:pic>
              </a:graphicData>
            </a:graphic>
          </wp:inline>
        </w:drawing>
      </w:r>
    </w:p>
    <w:p w14:paraId="28AC38B9" w14:textId="77777777" w:rsidR="00F5037E" w:rsidRDefault="00F5037E"/>
    <w:p w14:paraId="7208E726" w14:textId="77777777" w:rsidR="00F5037E" w:rsidRDefault="00F5037E"/>
    <w:p w14:paraId="5A9883C1" w14:textId="77777777" w:rsidR="00F5037E" w:rsidRDefault="00752F86">
      <w:pPr>
        <w:spacing w:after="100"/>
      </w:pPr>
      <w:r>
        <w:rPr>
          <w:b/>
          <w:color w:val="1D2754"/>
          <w:sz w:val="62"/>
        </w:rPr>
        <w:t>BEFORE THE TEMPLATE</w:t>
      </w:r>
    </w:p>
    <w:p w14:paraId="28037322" w14:textId="77777777" w:rsidR="00F5037E" w:rsidRDefault="00752F86">
      <w:pPr>
        <w:spacing w:after="240"/>
      </w:pPr>
      <w:r>
        <w:rPr>
          <w:b/>
          <w:color w:val="4472C4"/>
          <w:sz w:val="38"/>
        </w:rPr>
        <w:t>How to Build a Mobility Policy That Actually Works</w:t>
      </w:r>
    </w:p>
    <w:tbl>
      <w:tblPr>
        <w:tblW w:w="0" w:type="auto"/>
        <w:tblLayout w:type="fixed"/>
        <w:tblLook w:val="04A0" w:firstRow="1" w:lastRow="0" w:firstColumn="1" w:lastColumn="0" w:noHBand="0" w:noVBand="1"/>
      </w:tblPr>
      <w:tblGrid>
        <w:gridCol w:w="2088"/>
      </w:tblGrid>
      <w:tr w:rsidR="00F5037E" w14:paraId="5B8F1C16" w14:textId="77777777">
        <w:trPr>
          <w:trHeight w:hRule="exact" w:val="80"/>
        </w:trPr>
        <w:tc>
          <w:tcPr>
            <w:tcW w:w="2088" w:type="dxa"/>
            <w:shd w:val="clear" w:color="auto" w:fill="27A9D6"/>
            <w:tcMar>
              <w:top w:w="0" w:type="dxa"/>
              <w:left w:w="0" w:type="dxa"/>
              <w:bottom w:w="0" w:type="dxa"/>
              <w:right w:w="0" w:type="dxa"/>
            </w:tcMar>
          </w:tcPr>
          <w:p w14:paraId="2764A809" w14:textId="77777777" w:rsidR="00F5037E" w:rsidRDefault="00F5037E"/>
        </w:tc>
      </w:tr>
    </w:tbl>
    <w:p w14:paraId="1C356863" w14:textId="15E812F7" w:rsidR="00F5037E" w:rsidRDefault="00752F86">
      <w:pPr>
        <w:spacing w:before="240"/>
      </w:pPr>
      <w:r>
        <w:rPr>
          <w:i/>
          <w:color w:val="666666"/>
          <w:sz w:val="24"/>
        </w:rPr>
        <w:t xml:space="preserve">A practical guide to the decisions that matter </w:t>
      </w:r>
      <w:r w:rsidR="002C6107">
        <w:rPr>
          <w:i/>
          <w:color w:val="666666"/>
          <w:sz w:val="24"/>
        </w:rPr>
        <w:t>most</w:t>
      </w:r>
    </w:p>
    <w:p w14:paraId="47F26320" w14:textId="77777777" w:rsidR="00F5037E" w:rsidRDefault="00F5037E"/>
    <w:p w14:paraId="38D18F34" w14:textId="77777777" w:rsidR="00F5037E" w:rsidRDefault="00F5037E"/>
    <w:p w14:paraId="5A6F89CB" w14:textId="77777777" w:rsidR="00F5037E" w:rsidRDefault="00F5037E"/>
    <w:p w14:paraId="04060AAA" w14:textId="77777777" w:rsidR="00F5037E" w:rsidRDefault="00F5037E"/>
    <w:p w14:paraId="76D3CE08" w14:textId="77777777" w:rsidR="00F5037E" w:rsidRDefault="00F5037E"/>
    <w:p w14:paraId="3694048A" w14:textId="77777777" w:rsidR="00F5037E" w:rsidRDefault="00752F86">
      <w:pPr>
        <w:spacing w:after="60"/>
      </w:pPr>
      <w:r>
        <w:rPr>
          <w:b/>
          <w:color w:val="1D2754"/>
          <w:sz w:val="22"/>
        </w:rPr>
        <w:t>MICHAEL D. RAY</w:t>
      </w:r>
    </w:p>
    <w:p w14:paraId="677EF0E1" w14:textId="77777777" w:rsidR="00F5037E" w:rsidRDefault="00752F86">
      <w:pPr>
        <w:spacing w:after="60"/>
      </w:pPr>
      <w:r>
        <w:rPr>
          <w:color w:val="4472C4"/>
        </w:rPr>
        <w:t>Founder, Global Mobility Adviser</w:t>
      </w:r>
    </w:p>
    <w:p w14:paraId="0BEBE446" w14:textId="77777777" w:rsidR="00F5037E" w:rsidRDefault="00535CEB">
      <w:pPr>
        <w:spacing w:after="60"/>
      </w:pPr>
      <w:r>
        <w:rPr>
          <w:color w:val="666666"/>
          <w:sz w:val="19"/>
        </w:rPr>
        <w:t>August 2026</w:t>
      </w:r>
    </w:p>
    <w:p w14:paraId="73A1008F" w14:textId="77777777" w:rsidR="00F5037E" w:rsidRDefault="00F5037E">
      <w:pPr>
        <w:sectPr w:rsidR="00F5037E">
          <w:footerReference w:type="first" r:id="rId9"/>
          <w:pgSz w:w="12240" w:h="15840"/>
          <w:pgMar w:top="1037" w:right="1123" w:bottom="979" w:left="1123" w:header="403" w:footer="403" w:gutter="0"/>
          <w:cols w:space="720"/>
          <w:titlePg/>
          <w:docGrid w:linePitch="360"/>
        </w:sectPr>
      </w:pPr>
    </w:p>
    <w:p w14:paraId="029F5175" w14:textId="77777777" w:rsidR="00F5037E" w:rsidRDefault="00752F86">
      <w:pPr>
        <w:pStyle w:val="Heading1"/>
        <w:spacing w:after="160"/>
      </w:pPr>
      <w:r>
        <w:rPr>
          <w:rFonts w:ascii="Arial" w:hAnsi="Arial"/>
          <w:sz w:val="44"/>
        </w:rPr>
        <w:lastRenderedPageBreak/>
        <w:t>Executive Overview</w:t>
      </w:r>
    </w:p>
    <w:p w14:paraId="3504B15F" w14:textId="77777777" w:rsidR="00F5037E" w:rsidRDefault="00E22118">
      <w:pPr>
        <w:spacing w:after="140"/>
      </w:pPr>
      <w:r>
        <w:rPr>
          <w:color w:val="333333"/>
        </w:rPr>
        <w:t>Conversations about mobility policy often begin with a reasonable request: “Do you have a template?” or “Can you send me a report showing what other companies provide?” A template can save drafting time. Benchmark data can show what is common. Neither decides what an organization should do.</w:t>
      </w:r>
    </w:p>
    <w:p w14:paraId="10156860" w14:textId="77777777" w:rsidR="00F5037E" w:rsidRDefault="00752F86">
      <w:pPr>
        <w:spacing w:after="140"/>
      </w:pPr>
      <w:r>
        <w:rPr>
          <w:color w:val="333333"/>
        </w:rPr>
        <w:t>A mobility policy is not simply a list of benefits. It is a record of business choices: who the organization will move, why it will move them, which costs it will accept, which risks it will manage, how much flexibility it will allow, and what commitments it will make to employees and their families. To be effective, it must translate the organization’s talent strategy into action under circumstances that are unusually costly, complex, and consequential. Mobility decisions often support critical business initiatives and involve some of the organization’s most valuable employees, while creating significant personal disruption and exposing the organization to substantial compliance, governance, and financial risk.</w:t>
      </w:r>
    </w:p>
    <w:p w14:paraId="2051F3B5" w14:textId="77777777" w:rsidR="00F5037E" w:rsidRDefault="00752F86">
      <w:pPr>
        <w:spacing w:after="140"/>
      </w:pPr>
      <w:r>
        <w:rPr>
          <w:color w:val="333333"/>
        </w:rPr>
        <w:t>That is why two organizations can review the same market data and reasonably adopt very different policies. One may rely on modest lump sums and employee choice. Another may provide intensive support, tax protection, housing assistance, and family services. The difference is not necessarily that one is more generous or more sophisticated. The organizations may be solving different talent problems, moving different populations, operating in different geographies, or working within different financial and governance constraints.</w:t>
      </w:r>
    </w:p>
    <w:p w14:paraId="02FF2F83" w14:textId="77777777" w:rsidR="00F5037E" w:rsidRDefault="00752F86">
      <w:pPr>
        <w:spacing w:after="140"/>
      </w:pPr>
      <w:r>
        <w:rPr>
          <w:color w:val="333333"/>
        </w:rPr>
        <w:t>This paper is designed for HR leaders, generalists, and senior decision-makers who are creating a mobility policy for the first time or reconsidering an existing program. It explains the decisions that should precede policy drafting, the principal policy architectures available, the areas every policy must resolve, the proper role of benchmarking, and the point at which specialist expertise becomes useful.</w:t>
      </w:r>
    </w:p>
    <w:tbl>
      <w:tblPr>
        <w:tblW w:w="0" w:type="auto"/>
        <w:jc w:val="center"/>
        <w:tblLayout w:type="fixed"/>
        <w:tblLook w:val="04A0" w:firstRow="1" w:lastRow="0" w:firstColumn="1" w:lastColumn="0" w:noHBand="0" w:noVBand="1"/>
      </w:tblPr>
      <w:tblGrid>
        <w:gridCol w:w="9994"/>
      </w:tblGrid>
      <w:tr w:rsidR="00F5037E" w14:paraId="15A02D27" w14:textId="77777777">
        <w:trPr>
          <w:cantSplit/>
          <w:jc w:val="center"/>
        </w:trPr>
        <w:tc>
          <w:tcPr>
            <w:tcW w:w="9994" w:type="dxa"/>
            <w:tcBorders>
              <w:top w:val="single" w:sz="8" w:space="0" w:color="27A9D6"/>
              <w:left w:val="nil"/>
              <w:bottom w:val="single" w:sz="8" w:space="0" w:color="27A9D6"/>
              <w:right w:val="nil"/>
            </w:tcBorders>
            <w:shd w:val="clear" w:color="auto" w:fill="F4F8FC"/>
            <w:tcMar>
              <w:top w:w="160" w:type="dxa"/>
              <w:left w:w="260" w:type="dxa"/>
              <w:bottom w:w="160" w:type="dxa"/>
              <w:right w:w="260" w:type="dxa"/>
            </w:tcMar>
          </w:tcPr>
          <w:p w14:paraId="12CE7661" w14:textId="77777777" w:rsidR="00F5037E" w:rsidRDefault="00320549">
            <w:pPr>
              <w:spacing w:after="0"/>
              <w:jc w:val="center"/>
            </w:pPr>
            <w:r>
              <w:rPr>
                <w:b/>
                <w:color w:val="1D2754"/>
                <w:sz w:val="26"/>
              </w:rPr>
              <w:t>The template is not the strategy. It is the document that records the strategy.</w:t>
            </w:r>
          </w:p>
        </w:tc>
      </w:tr>
    </w:tbl>
    <w:p w14:paraId="3CF0E757" w14:textId="77777777" w:rsidR="00F5037E" w:rsidRDefault="00752F86">
      <w:pPr>
        <w:pStyle w:val="Heading2"/>
        <w:spacing w:before="160" w:after="80"/>
      </w:pPr>
      <w:r>
        <w:rPr>
          <w:rFonts w:ascii="Arial" w:hAnsi="Arial"/>
        </w:rPr>
        <w:t>What this paper will help you do</w:t>
      </w:r>
    </w:p>
    <w:p w14:paraId="00E7DAF6" w14:textId="77777777" w:rsidR="00F5037E" w:rsidRDefault="00752F86">
      <w:pPr>
        <w:pStyle w:val="ListBullet"/>
        <w:spacing w:after="80"/>
        <w:ind w:hanging="230"/>
      </w:pPr>
      <w:r>
        <w:rPr>
          <w:color w:val="333333"/>
        </w:rPr>
        <w:t>Understand what a mobility policy is intended to accomplish.</w:t>
      </w:r>
    </w:p>
    <w:p w14:paraId="59C7C77D" w14:textId="77777777" w:rsidR="00F5037E" w:rsidRDefault="00752F86">
      <w:pPr>
        <w:pStyle w:val="ListBullet"/>
        <w:spacing w:after="80"/>
        <w:ind w:hanging="230"/>
      </w:pPr>
      <w:r>
        <w:rPr>
          <w:color w:val="333333"/>
        </w:rPr>
        <w:t>Identify the business, talent, cultural, geographic, and financial decisions that should be made before drafting.</w:t>
      </w:r>
    </w:p>
    <w:p w14:paraId="603CE21F" w14:textId="77777777" w:rsidR="00F5037E" w:rsidRDefault="00752F86">
      <w:pPr>
        <w:pStyle w:val="ListBullet"/>
        <w:spacing w:after="80"/>
        <w:ind w:hanging="230"/>
      </w:pPr>
      <w:r>
        <w:rPr>
          <w:color w:val="333333"/>
        </w:rPr>
        <w:t>Choose a policy architecture that reflects the facts of the move rather than relying only on labels or duration.</w:t>
      </w:r>
    </w:p>
    <w:p w14:paraId="1ABBB128" w14:textId="77777777" w:rsidR="00F5037E" w:rsidRDefault="00752F86">
      <w:pPr>
        <w:pStyle w:val="ListBullet"/>
        <w:spacing w:after="80"/>
        <w:ind w:hanging="230"/>
      </w:pPr>
      <w:r>
        <w:rPr>
          <w:color w:val="333333"/>
        </w:rPr>
        <w:t>Use benchmark data as an input without allowing “common practice” to substitute for judgment.</w:t>
      </w:r>
    </w:p>
    <w:p w14:paraId="2D88029B" w14:textId="77777777" w:rsidR="00F5037E" w:rsidRDefault="00752F86">
      <w:pPr>
        <w:pStyle w:val="ListBullet"/>
        <w:spacing w:after="80"/>
        <w:ind w:hanging="230"/>
      </w:pPr>
      <w:r>
        <w:rPr>
          <w:color w:val="333333"/>
        </w:rPr>
        <w:t>Distinguish decisions that HR should own from technical areas where specialist advice can prevent expensive mistakes.</w:t>
      </w:r>
    </w:p>
    <w:p w14:paraId="55D8BB31" w14:textId="77777777" w:rsidR="00F5037E" w:rsidRDefault="00752F86">
      <w:pPr>
        <w:pStyle w:val="ListBullet"/>
        <w:spacing w:after="80"/>
        <w:ind w:hanging="230"/>
      </w:pPr>
      <w:r>
        <w:rPr>
          <w:color w:val="333333"/>
        </w:rPr>
        <w:t>Recognize the operational, supplier, technology, and governance work required to turn a policy into a functioning program.</w:t>
      </w:r>
    </w:p>
    <w:p w14:paraId="76921A31" w14:textId="77777777" w:rsidR="00F5037E" w:rsidRDefault="00752F86">
      <w:r>
        <w:t>Detailed policy-type and benefit reference tables appear in Appendix A. Appendix B provides a practical policy-design checklist.</w:t>
      </w:r>
    </w:p>
    <w:p w14:paraId="5E03D05F" w14:textId="77777777" w:rsidR="00F5037E" w:rsidRDefault="00752F86">
      <w:pPr>
        <w:pStyle w:val="Heading1"/>
        <w:spacing w:before="240" w:after="80"/>
      </w:pPr>
      <w:r>
        <w:rPr>
          <w:rFonts w:ascii="Arial" w:hAnsi="Arial"/>
        </w:rPr>
        <w:t>1. Why the Template Is Not the Starting Point</w:t>
      </w:r>
    </w:p>
    <w:p w14:paraId="535DAF0B" w14:textId="77777777" w:rsidR="00F5037E" w:rsidRDefault="00752F86">
      <w:pPr>
        <w:keepNext/>
        <w:spacing w:after="200"/>
      </w:pPr>
      <w:r>
        <w:rPr>
          <w:i/>
          <w:color w:val="4472C4"/>
        </w:rPr>
        <w:t>The request for a template is usually a request for a decision.</w:t>
      </w:r>
    </w:p>
    <w:p w14:paraId="4C110D5D" w14:textId="77777777" w:rsidR="00F5037E" w:rsidRDefault="00752F86">
      <w:pPr>
        <w:spacing w:after="140"/>
      </w:pPr>
      <w:r>
        <w:rPr>
          <w:color w:val="333333"/>
        </w:rPr>
        <w:t>A policy template is useful in the same way that architectural plans are useful: it shows the categories that must be addressed and provides a structure for recording decisions. It cannot tell an organization what it should build.</w:t>
      </w:r>
    </w:p>
    <w:p w14:paraId="453A96DB" w14:textId="77777777" w:rsidR="00F5037E" w:rsidRDefault="00752F86">
      <w:pPr>
        <w:spacing w:after="140"/>
      </w:pPr>
      <w:r>
        <w:rPr>
          <w:color w:val="333333"/>
        </w:rPr>
        <w:t>The question behind “Do you have a template?” is usually broader: What should we provide? What is reasonable? What will employees expect? What will this cost? How do we avoid making a mistake? Those are not drafting questions. They are design questions.</w:t>
      </w:r>
    </w:p>
    <w:p w14:paraId="73BA22E0" w14:textId="77777777" w:rsidR="00F5037E" w:rsidRDefault="00752F86">
      <w:pPr>
        <w:spacing w:after="140"/>
      </w:pPr>
      <w:r>
        <w:rPr>
          <w:color w:val="333333"/>
        </w:rPr>
        <w:t>A well-designed mobility policy creates consistency and predictability. It helps employees understand what the organization will and will not support. It gives managers and HR a basis for approving moves and addressing exceptions. It allows Finance to estimate costs. It establishes when tax, immigration, payroll, legal, or other reviews are required. It also turns a series of one-off negotiations into a repeatable organizational process.</w:t>
      </w:r>
    </w:p>
    <w:p w14:paraId="46D8EAFA" w14:textId="77777777" w:rsidR="00F5037E" w:rsidRDefault="00752F86">
      <w:pPr>
        <w:spacing w:after="140"/>
      </w:pPr>
      <w:r>
        <w:rPr>
          <w:color w:val="333333"/>
        </w:rPr>
        <w:t>A poorly designed policy can do the opposite. It can promise benefits the organization cannot administer, create inequity between similar employees, encourage unnecessary exceptions, conceal costs, and expose the company to compliance or employee-relations problems. The document may look complete while the underlying decisions remain unresolved.</w:t>
      </w:r>
    </w:p>
    <w:tbl>
      <w:tblPr>
        <w:tblW w:w="0" w:type="auto"/>
        <w:jc w:val="center"/>
        <w:tblLayout w:type="fixed"/>
        <w:tblLook w:val="04A0" w:firstRow="1" w:lastRow="0" w:firstColumn="1" w:lastColumn="0" w:noHBand="0" w:noVBand="1"/>
      </w:tblPr>
      <w:tblGrid>
        <w:gridCol w:w="9994"/>
      </w:tblGrid>
      <w:tr w:rsidR="00F5037E" w14:paraId="1F555DC3"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0ABB5F8D" w14:textId="77777777" w:rsidR="00F5037E" w:rsidRDefault="00752F86">
            <w:pPr>
              <w:spacing w:after="80"/>
            </w:pPr>
            <w:r>
              <w:rPr>
                <w:b/>
                <w:color w:val="1D2754"/>
              </w:rPr>
              <w:t>A useful definition</w:t>
            </w:r>
          </w:p>
          <w:p w14:paraId="514D58D2" w14:textId="77777777" w:rsidR="00F5037E" w:rsidRDefault="00752F86">
            <w:pPr>
              <w:spacing w:after="0" w:line="259" w:lineRule="auto"/>
            </w:pPr>
            <w:r>
              <w:rPr>
                <w:color w:val="333333"/>
                <w:sz w:val="20"/>
              </w:rPr>
              <w:t>A mobility policy is a decision framework that translates talent strategy, financial boundaries, risk appetite, and employee commitments into repeatable rules for moving people.</w:t>
            </w:r>
          </w:p>
        </w:tc>
      </w:tr>
    </w:tbl>
    <w:p w14:paraId="28FAC3C7" w14:textId="77777777" w:rsidR="00F5037E" w:rsidRDefault="00F5037E">
      <w:pPr>
        <w:spacing w:after="0"/>
      </w:pPr>
    </w:p>
    <w:p w14:paraId="37357D23" w14:textId="77777777" w:rsidR="00F5037E" w:rsidRDefault="00752F86">
      <w:pPr>
        <w:pStyle w:val="Heading2"/>
        <w:spacing w:before="160" w:after="80"/>
      </w:pPr>
      <w:r>
        <w:rPr>
          <w:rFonts w:ascii="Arial" w:hAnsi="Arial"/>
        </w:rPr>
        <w:t>The policy should answer three levels of questions</w:t>
      </w:r>
    </w:p>
    <w:p w14:paraId="1A0E8B5F" w14:textId="77777777" w:rsidR="00F5037E" w:rsidRDefault="00752F86">
      <w:pPr>
        <w:pStyle w:val="ListBullet"/>
        <w:spacing w:after="80"/>
        <w:ind w:hanging="230"/>
      </w:pPr>
      <w:r>
        <w:rPr>
          <w:b/>
          <w:color w:val="333333"/>
        </w:rPr>
        <w:t>Strategic:</w:t>
      </w:r>
      <w:r>
        <w:rPr>
          <w:color w:val="333333"/>
        </w:rPr>
        <w:t xml:space="preserve"> Why does the organization move people, and what business or talent outcomes should mobility support?</w:t>
      </w:r>
    </w:p>
    <w:p w14:paraId="3B058551" w14:textId="77777777" w:rsidR="00F5037E" w:rsidRDefault="00752F86">
      <w:pPr>
        <w:pStyle w:val="ListBullet"/>
        <w:spacing w:after="80"/>
        <w:ind w:hanging="230"/>
      </w:pPr>
      <w:r>
        <w:rPr>
          <w:b/>
          <w:color w:val="333333"/>
        </w:rPr>
        <w:t>Design:</w:t>
      </w:r>
      <w:r>
        <w:rPr>
          <w:color w:val="333333"/>
        </w:rPr>
        <w:t xml:space="preserve"> Which populations and move types will be supported, at what level, and under which compensation and benefit principles?</w:t>
      </w:r>
    </w:p>
    <w:p w14:paraId="5DD84B0B" w14:textId="77777777" w:rsidR="00F5037E" w:rsidRDefault="00752F86">
      <w:pPr>
        <w:pStyle w:val="ListBullet"/>
        <w:spacing w:after="80"/>
        <w:ind w:hanging="230"/>
      </w:pPr>
      <w:r>
        <w:rPr>
          <w:b/>
          <w:color w:val="333333"/>
        </w:rPr>
        <w:t>Operational:</w:t>
      </w:r>
      <w:r>
        <w:rPr>
          <w:color w:val="333333"/>
        </w:rPr>
        <w:t xml:space="preserve"> Who approves, pays, administers, communicates, tracks, and measures each part of the program?</w:t>
      </w:r>
    </w:p>
    <w:p w14:paraId="4DC3BDEF" w14:textId="77777777" w:rsidR="00F5037E" w:rsidRDefault="00752F86">
      <w:pPr>
        <w:spacing w:after="140"/>
      </w:pPr>
      <w:r>
        <w:rPr>
          <w:color w:val="333333"/>
        </w:rPr>
        <w:t>The common mistake is to begin at the operational level, selecting benefit limits or copying policy language before the strategic and design questions have been answered. The resulting policy may be administratively detailed but strategically incoherent.</w:t>
      </w:r>
    </w:p>
    <w:p w14:paraId="695A6AF7" w14:textId="77777777" w:rsidR="00F5037E" w:rsidRDefault="00752F86">
      <w:pPr>
        <w:pStyle w:val="Heading1"/>
        <w:spacing w:before="240" w:after="80"/>
      </w:pPr>
      <w:r>
        <w:rPr>
          <w:rFonts w:ascii="Arial" w:hAnsi="Arial"/>
        </w:rPr>
        <w:t>2. Five Decisions to Make Before Drafting</w:t>
      </w:r>
    </w:p>
    <w:p w14:paraId="4CC66A35" w14:textId="77777777" w:rsidR="00F5037E" w:rsidRDefault="00752F86">
      <w:pPr>
        <w:keepNext/>
        <w:spacing w:after="200"/>
      </w:pPr>
      <w:r>
        <w:rPr>
          <w:i/>
          <w:color w:val="4472C4"/>
        </w:rPr>
        <w:t>These choices determine whether the eventual policy is coherent, affordable, and usable.</w:t>
      </w:r>
    </w:p>
    <w:p w14:paraId="72E56358" w14:textId="77777777" w:rsidR="00F5037E" w:rsidRDefault="00752F86">
      <w:pPr>
        <w:pStyle w:val="Heading2"/>
        <w:spacing w:before="160" w:after="80"/>
      </w:pPr>
      <w:r>
        <w:rPr>
          <w:rFonts w:ascii="Arial" w:hAnsi="Arial"/>
        </w:rPr>
        <w:t>Decision 1: How does mobility support the business and talent strategy?</w:t>
      </w:r>
    </w:p>
    <w:p w14:paraId="65211CFB" w14:textId="77777777" w:rsidR="00F5037E" w:rsidRDefault="00752F86">
      <w:pPr>
        <w:spacing w:after="140"/>
      </w:pPr>
      <w:r>
        <w:rPr>
          <w:color w:val="333333"/>
        </w:rPr>
        <w:t>Organizations use mobility for very different reasons. Some need access to scarce talent across borders. Some move leaders to transfer knowledge, open markets, or build succession pipelines. Others relocate employees occasionally to fill a vacancy, support a project, or respond to an individual request.</w:t>
      </w:r>
    </w:p>
    <w:p w14:paraId="4261A652" w14:textId="77777777" w:rsidR="00D467E4" w:rsidRDefault="00752F86">
      <w:pPr>
        <w:pStyle w:val="Heading3"/>
      </w:pPr>
      <w:r>
        <w:t>Should anyone move?</w:t>
      </w:r>
    </w:p>
    <w:p w14:paraId="37366929" w14:textId="77777777" w:rsidR="00D467E4" w:rsidRDefault="00752F86">
      <w:pPr>
        <w:keepLines/>
        <w:spacing w:after="140"/>
      </w:pPr>
      <w:r>
        <w:t>Mobility is one way to solve a business or talent problem; it is not the objective itself. Before selecting a policy, leaders should ask whether the need could be met through a local hire, remote or hybrid work, business travel, a commuter arrangement, a short-term project team, or moving the work rather than the employee. If a move remains the best answer, the organization can then determine which type of move and level of support are justified.</w:t>
      </w:r>
    </w:p>
    <w:p w14:paraId="3D6D2DC6" w14:textId="77777777" w:rsidR="00F5037E" w:rsidRDefault="00752F86">
      <w:pPr>
        <w:spacing w:after="140"/>
      </w:pPr>
      <w:r>
        <w:rPr>
          <w:color w:val="333333"/>
        </w:rPr>
        <w:t>The more central mobility is to the talent strategy, the more justified the investment in infrastructure, employee support, technology, data, and program management. Volume also matters. An organization moving hundreds of employees can build standardized processes and negotiate supplier arrangements that may not be practical for an employer moving three people a year.</w:t>
      </w:r>
    </w:p>
    <w:p w14:paraId="2081E3A4" w14:textId="77777777" w:rsidR="00F5037E" w:rsidRDefault="00752F86">
      <w:pPr>
        <w:spacing w:after="140"/>
      </w:pPr>
      <w:r>
        <w:rPr>
          <w:color w:val="333333"/>
        </w:rPr>
        <w:t>Before discussing benefits, leaders should be able to state the business reason for mobility. A policy designed primarily to develop future executives will not resemble one designed to deploy technical specialists, staff a remote facility, or accommodate employee-initiated moves.</w:t>
      </w:r>
    </w:p>
    <w:tbl>
      <w:tblPr>
        <w:tblW w:w="0" w:type="auto"/>
        <w:jc w:val="center"/>
        <w:tblLayout w:type="fixed"/>
        <w:tblLook w:val="04A0" w:firstRow="1" w:lastRow="0" w:firstColumn="1" w:lastColumn="0" w:noHBand="0" w:noVBand="1"/>
      </w:tblPr>
      <w:tblGrid>
        <w:gridCol w:w="9994"/>
      </w:tblGrid>
      <w:tr w:rsidR="00F5037E" w14:paraId="1D7FDAA1"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3206D4D5" w14:textId="77777777" w:rsidR="00F5037E" w:rsidRDefault="00752F86">
            <w:pPr>
              <w:spacing w:after="80"/>
            </w:pPr>
            <w:r>
              <w:rPr>
                <w:b/>
                <w:color w:val="1D2754"/>
              </w:rPr>
              <w:t>Questions to resolve</w:t>
            </w:r>
          </w:p>
          <w:p w14:paraId="4B1FC971" w14:textId="77777777" w:rsidR="00F5037E" w:rsidRDefault="00752F86">
            <w:pPr>
              <w:spacing w:after="0" w:line="259" w:lineRule="auto"/>
            </w:pPr>
            <w:r>
              <w:rPr>
                <w:color w:val="333333"/>
                <w:sz w:val="20"/>
              </w:rPr>
              <w:t>What business problem does mobility solve? Which roles or talent populations depend on it? Is mobility primarily strategic, developmental, operational, recruiting-driven, or employee-initiated? How often does the organization expect to use the policy? Could the business need be met without moving the employee?</w:t>
            </w:r>
          </w:p>
        </w:tc>
      </w:tr>
    </w:tbl>
    <w:p w14:paraId="4CF31F84" w14:textId="77777777" w:rsidR="00F5037E" w:rsidRDefault="00F5037E">
      <w:pPr>
        <w:spacing w:after="0"/>
      </w:pPr>
    </w:p>
    <w:p w14:paraId="260CDA4E" w14:textId="77777777" w:rsidR="00F5037E" w:rsidRDefault="00752F86">
      <w:pPr>
        <w:pStyle w:val="Heading2"/>
        <w:spacing w:before="160" w:after="80"/>
      </w:pPr>
      <w:r>
        <w:rPr>
          <w:rFonts w:ascii="Arial" w:hAnsi="Arial"/>
        </w:rPr>
        <w:t>Decision 2: What kind of organization are we?</w:t>
      </w:r>
    </w:p>
    <w:p w14:paraId="561FA386" w14:textId="77777777" w:rsidR="00F5037E" w:rsidRDefault="00752F86">
      <w:pPr>
        <w:spacing w:after="140"/>
      </w:pPr>
      <w:r>
        <w:rPr>
          <w:color w:val="333333"/>
        </w:rPr>
        <w:t>Policy design should reflect the culture of the organization. Some employers prefer detailed rules, defined reimbursements, and close oversight. Others favor broad guardrails, lump sums, and employee choice. Most sit somewhere between those positions.</w:t>
      </w:r>
    </w:p>
    <w:p w14:paraId="16D12692" w14:textId="77777777" w:rsidR="00F5037E" w:rsidRDefault="00752F86">
      <w:pPr>
        <w:spacing w:after="140"/>
      </w:pPr>
      <w:r>
        <w:rPr>
          <w:color w:val="333333"/>
        </w:rPr>
        <w:t>I once supported a company whose approach to employee programs was highly paternalistic. HR provided extensive guidance and maintained specific rules for nearly every interaction. When we discussed a miscellaneous relocation allowance, the team was uncomfortable with the idea of giving employees cash without prescribing exactly how it should be used. Another employer might view the same allowance as an efficient way to give employees flexibility and reduce administration.</w:t>
      </w:r>
    </w:p>
    <w:p w14:paraId="70C16F2D" w14:textId="77777777" w:rsidR="00F5037E" w:rsidRDefault="00752F86">
      <w:pPr>
        <w:spacing w:after="140"/>
      </w:pPr>
      <w:r>
        <w:rPr>
          <w:color w:val="333333"/>
        </w:rPr>
        <w:t>Neither approach is universally correct. The important question is whether the mobility policy is consistent with the organization’s broader approach to Total Rewards, benefits, employee autonomy, controls, and exceptions. Public companies, highly visible nonprofit organizations, regulated businesses, and rapidly growing private companies may also operate under very different standards of scrutiny and governance.</w:t>
      </w:r>
    </w:p>
    <w:p w14:paraId="47D2FDC5" w14:textId="77777777" w:rsidR="00D467E4" w:rsidRDefault="00752F86">
      <w:pPr>
        <w:pStyle w:val="Heading3"/>
      </w:pPr>
      <w:r>
        <w:t>Lump sums simplify administration by transferring risk</w:t>
      </w:r>
    </w:p>
    <w:p w14:paraId="045E421E" w14:textId="77777777" w:rsidR="00D467E4" w:rsidRDefault="00752F86">
      <w:r>
        <w:t>Standardized lump sums inevitably overpay some employees and undercompensate others. In a pure lump-sum design, 100 percent of the cost-variance risk sits with the employee: if the move costs less, the employee benefits; if it costs more, the employee absorbs the loss. Lump sums can be appropriate, but they should be adopted as a deliberate risk-allocation choice - not described only as flexibility.</w:t>
      </w:r>
    </w:p>
    <w:tbl>
      <w:tblPr>
        <w:tblW w:w="0" w:type="auto"/>
        <w:jc w:val="center"/>
        <w:tblLayout w:type="fixed"/>
        <w:tblLook w:val="04A0" w:firstRow="1" w:lastRow="0" w:firstColumn="1" w:lastColumn="0" w:noHBand="0" w:noVBand="1"/>
      </w:tblPr>
      <w:tblGrid>
        <w:gridCol w:w="9994"/>
      </w:tblGrid>
      <w:tr w:rsidR="00F5037E" w14:paraId="0D43949A"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2F1B1A51" w14:textId="77777777" w:rsidR="00F5037E" w:rsidRDefault="00752F86">
            <w:pPr>
              <w:spacing w:after="80"/>
            </w:pPr>
            <w:r>
              <w:rPr>
                <w:b/>
                <w:color w:val="1D2754"/>
              </w:rPr>
              <w:t>Questions to resolve</w:t>
            </w:r>
          </w:p>
          <w:p w14:paraId="3DCD6FB7" w14:textId="77777777" w:rsidR="00F5037E" w:rsidRDefault="00752F86">
            <w:pPr>
              <w:spacing w:after="0" w:line="259" w:lineRule="auto"/>
            </w:pPr>
            <w:r>
              <w:rPr>
                <w:color w:val="333333"/>
                <w:sz w:val="20"/>
              </w:rPr>
              <w:t>How much employee choice is culturally appropriate? How much administrative control is required? Will the organization reimburse actual costs, provide direct services, pay allowances, or combine these approaches? How much flexibility can the organization afford without undermining consistency?</w:t>
            </w:r>
          </w:p>
        </w:tc>
      </w:tr>
    </w:tbl>
    <w:p w14:paraId="74A8989B" w14:textId="77777777" w:rsidR="00F5037E" w:rsidRDefault="00F5037E">
      <w:pPr>
        <w:spacing w:after="0"/>
      </w:pPr>
    </w:p>
    <w:p w14:paraId="02F36926" w14:textId="77777777" w:rsidR="00F5037E" w:rsidRDefault="00752F86">
      <w:pPr>
        <w:pStyle w:val="Heading2"/>
        <w:spacing w:before="160" w:after="80"/>
      </w:pPr>
      <w:r>
        <w:rPr>
          <w:rFonts w:ascii="Arial" w:hAnsi="Arial"/>
        </w:rPr>
        <w:t>Decision 3: Who is moving - and why?</w:t>
      </w:r>
    </w:p>
    <w:p w14:paraId="4F158D94" w14:textId="77777777" w:rsidR="00F5037E" w:rsidRDefault="00752F86">
      <w:pPr>
        <w:spacing w:after="140"/>
      </w:pPr>
      <w:r>
        <w:rPr>
          <w:color w:val="333333"/>
        </w:rPr>
        <w:t>The employee population and the purpose of the move should materially influence the level and type of support. A global pharmaceutical development company once described nine out of ten of its mobile employees as “unicorns”: scientists and medical researchers with capabilities that would be exceptionally difficult or costly to replace. That organization’s mobility proposition was understandably different from that of an employer moving large groups of interns for development or a retailer relocating managers to fill open positions.</w:t>
      </w:r>
    </w:p>
    <w:p w14:paraId="08E53825" w14:textId="77777777" w:rsidR="00F5037E" w:rsidRDefault="00752F86">
      <w:pPr>
        <w:spacing w:after="140"/>
      </w:pPr>
      <w:r>
        <w:rPr>
          <w:color w:val="333333"/>
        </w:rPr>
        <w:t>A useful way to think about policy support is to consider both the value of the move to the company and the value of the move to the employee. When the organization has an urgent business need, and the employee receives limited personal benefit, stronger support is often justified. When the move is largely employee-initiated or offers substantial lifestyle or career benefit, the organization may reasonably provide less.</w:t>
      </w:r>
    </w:p>
    <w:p w14:paraId="5CA79199" w14:textId="77777777" w:rsidR="00F5037E" w:rsidRDefault="00752F86">
      <w:pPr>
        <w:keepNext/>
        <w:spacing w:before="160" w:after="100"/>
        <w:jc w:val="center"/>
      </w:pPr>
      <w:r>
        <w:rPr>
          <w:b/>
          <w:color w:val="1D2754"/>
        </w:rPr>
        <w:t>Balancing company and employee value</w:t>
      </w:r>
    </w:p>
    <w:tbl>
      <w:tblPr>
        <w:tblW w:w="9719" w:type="dxa"/>
        <w:tblLayout w:type="fixed"/>
        <w:tblLook w:val="04A0" w:firstRow="1" w:lastRow="0" w:firstColumn="1" w:lastColumn="0" w:noHBand="0" w:noVBand="1"/>
      </w:tblPr>
      <w:tblGrid>
        <w:gridCol w:w="1728"/>
        <w:gridCol w:w="4003"/>
        <w:gridCol w:w="3988"/>
      </w:tblGrid>
      <w:tr w:rsidR="00F5037E" w14:paraId="3723565B" w14:textId="77777777">
        <w:trPr>
          <w:cantSplit/>
        </w:trPr>
        <w:tc>
          <w:tcPr>
            <w:tcW w:w="1728" w:type="dxa"/>
            <w:tcBorders>
              <w:top w:val="single" w:sz="5" w:space="0" w:color="B7C3D0"/>
              <w:left w:val="single" w:sz="5" w:space="0" w:color="B7C3D0"/>
              <w:bottom w:val="single" w:sz="5" w:space="0" w:color="B7C3D0"/>
              <w:right w:val="single" w:sz="5" w:space="0" w:color="B7C3D0"/>
            </w:tcBorders>
            <w:shd w:val="clear" w:color="auto" w:fill="FFFFFF"/>
            <w:tcMar>
              <w:top w:w="55" w:type="dxa"/>
              <w:left w:w="70" w:type="dxa"/>
              <w:bottom w:w="55" w:type="dxa"/>
              <w:right w:w="70" w:type="dxa"/>
            </w:tcMar>
            <w:vAlign w:val="center"/>
          </w:tcPr>
          <w:p w14:paraId="2389703A" w14:textId="77777777" w:rsidR="00F5037E" w:rsidRDefault="00F5037E">
            <w:pPr>
              <w:spacing w:after="0"/>
              <w:jc w:val="center"/>
            </w:pPr>
          </w:p>
        </w:tc>
        <w:tc>
          <w:tcPr>
            <w:tcW w:w="4003" w:type="dxa"/>
            <w:tcBorders>
              <w:top w:val="single" w:sz="5" w:space="0" w:color="B7C3D0"/>
              <w:left w:val="single" w:sz="5" w:space="0" w:color="B7C3D0"/>
              <w:bottom w:val="single" w:sz="5" w:space="0" w:color="B7C3D0"/>
              <w:right w:val="single" w:sz="5" w:space="0" w:color="B7C3D0"/>
            </w:tcBorders>
            <w:shd w:val="clear" w:color="auto" w:fill="1D2754"/>
            <w:tcMar>
              <w:top w:w="55" w:type="dxa"/>
              <w:left w:w="70" w:type="dxa"/>
              <w:bottom w:w="55" w:type="dxa"/>
              <w:right w:w="70" w:type="dxa"/>
            </w:tcMar>
            <w:vAlign w:val="center"/>
          </w:tcPr>
          <w:p w14:paraId="6AA32C25" w14:textId="77777777" w:rsidR="00F5037E" w:rsidRDefault="00752F86">
            <w:pPr>
              <w:spacing w:after="0"/>
              <w:jc w:val="center"/>
            </w:pPr>
            <w:r>
              <w:rPr>
                <w:b/>
                <w:color w:val="FFFFFF"/>
                <w:sz w:val="15"/>
              </w:rPr>
              <w:t>Lower employee benefit</w:t>
            </w:r>
          </w:p>
        </w:tc>
        <w:tc>
          <w:tcPr>
            <w:tcW w:w="3988" w:type="dxa"/>
            <w:tcBorders>
              <w:top w:val="single" w:sz="5" w:space="0" w:color="B7C3D0"/>
              <w:left w:val="single" w:sz="5" w:space="0" w:color="B7C3D0"/>
              <w:bottom w:val="single" w:sz="5" w:space="0" w:color="B7C3D0"/>
              <w:right w:val="single" w:sz="5" w:space="0" w:color="B7C3D0"/>
            </w:tcBorders>
            <w:shd w:val="clear" w:color="auto" w:fill="1D2754"/>
            <w:tcMar>
              <w:top w:w="55" w:type="dxa"/>
              <w:left w:w="70" w:type="dxa"/>
              <w:bottom w:w="55" w:type="dxa"/>
              <w:right w:w="70" w:type="dxa"/>
            </w:tcMar>
            <w:vAlign w:val="center"/>
          </w:tcPr>
          <w:p w14:paraId="10E187CC" w14:textId="77777777" w:rsidR="00F5037E" w:rsidRDefault="00752F86">
            <w:pPr>
              <w:spacing w:after="0"/>
              <w:jc w:val="center"/>
            </w:pPr>
            <w:r>
              <w:rPr>
                <w:b/>
                <w:color w:val="FFFFFF"/>
                <w:sz w:val="15"/>
              </w:rPr>
              <w:t>Higher employee benefit</w:t>
            </w:r>
          </w:p>
        </w:tc>
      </w:tr>
      <w:tr w:rsidR="00F5037E" w14:paraId="45B63AA5" w14:textId="77777777">
        <w:trPr>
          <w:cantSplit/>
        </w:trPr>
        <w:tc>
          <w:tcPr>
            <w:tcW w:w="1728" w:type="dxa"/>
            <w:tcBorders>
              <w:top w:val="single" w:sz="5" w:space="0" w:color="B7C3D0"/>
              <w:left w:val="single" w:sz="5" w:space="0" w:color="B7C3D0"/>
              <w:bottom w:val="single" w:sz="5" w:space="0" w:color="B7C3D0"/>
              <w:right w:val="single" w:sz="5" w:space="0" w:color="B7C3D0"/>
            </w:tcBorders>
            <w:shd w:val="clear" w:color="auto" w:fill="1D2754"/>
            <w:tcMar>
              <w:top w:w="55" w:type="dxa"/>
              <w:left w:w="70" w:type="dxa"/>
              <w:bottom w:w="55" w:type="dxa"/>
              <w:right w:w="70" w:type="dxa"/>
            </w:tcMar>
            <w:vAlign w:val="center"/>
          </w:tcPr>
          <w:p w14:paraId="61B4B234" w14:textId="77777777" w:rsidR="00F5037E" w:rsidRDefault="00752F86">
            <w:pPr>
              <w:spacing w:after="0"/>
              <w:jc w:val="center"/>
            </w:pPr>
            <w:r>
              <w:rPr>
                <w:b/>
                <w:color w:val="FFFFFF"/>
                <w:sz w:val="15"/>
              </w:rPr>
              <w:t>Higher company benefit</w:t>
            </w:r>
          </w:p>
        </w:tc>
        <w:tc>
          <w:tcPr>
            <w:tcW w:w="4003" w:type="dxa"/>
            <w:tcBorders>
              <w:top w:val="single" w:sz="5" w:space="0" w:color="B7C3D0"/>
              <w:left w:val="single" w:sz="5" w:space="0" w:color="B7C3D0"/>
              <w:bottom w:val="single" w:sz="5" w:space="0" w:color="B7C3D0"/>
              <w:right w:val="single" w:sz="5" w:space="0" w:color="B7C3D0"/>
            </w:tcBorders>
            <w:shd w:val="clear" w:color="auto" w:fill="D7E7F5"/>
            <w:tcMar>
              <w:top w:w="55" w:type="dxa"/>
              <w:left w:w="70" w:type="dxa"/>
              <w:bottom w:w="55" w:type="dxa"/>
              <w:right w:w="70" w:type="dxa"/>
            </w:tcMar>
            <w:vAlign w:val="center"/>
          </w:tcPr>
          <w:p w14:paraId="6C256A3A" w14:textId="77777777" w:rsidR="00F5037E" w:rsidRDefault="00752F86">
            <w:pPr>
              <w:spacing w:after="0"/>
              <w:jc w:val="center"/>
            </w:pPr>
            <w:r>
              <w:rPr>
                <w:color w:val="333333"/>
                <w:sz w:val="15"/>
              </w:rPr>
              <w:t>STRATEGIC CONTRIBUTORS</w:t>
            </w:r>
            <w:r>
              <w:rPr>
                <w:color w:val="333333"/>
                <w:sz w:val="15"/>
              </w:rPr>
              <w:br/>
              <w:t>A unique specialist or executive fills a critical role.</w:t>
            </w:r>
          </w:p>
        </w:tc>
        <w:tc>
          <w:tcPr>
            <w:tcW w:w="3988" w:type="dxa"/>
            <w:tcBorders>
              <w:top w:val="single" w:sz="5" w:space="0" w:color="B7C3D0"/>
              <w:left w:val="single" w:sz="5" w:space="0" w:color="B7C3D0"/>
              <w:bottom w:val="single" w:sz="5" w:space="0" w:color="B7C3D0"/>
              <w:right w:val="single" w:sz="5" w:space="0" w:color="B7C3D0"/>
            </w:tcBorders>
            <w:shd w:val="clear" w:color="auto" w:fill="D7E7F5"/>
            <w:tcMar>
              <w:top w:w="55" w:type="dxa"/>
              <w:left w:w="70" w:type="dxa"/>
              <w:bottom w:w="55" w:type="dxa"/>
              <w:right w:w="70" w:type="dxa"/>
            </w:tcMar>
            <w:vAlign w:val="center"/>
          </w:tcPr>
          <w:p w14:paraId="72691E24" w14:textId="77777777" w:rsidR="00F5037E" w:rsidRDefault="00752F86">
            <w:pPr>
              <w:spacing w:after="0"/>
              <w:jc w:val="center"/>
            </w:pPr>
            <w:r>
              <w:rPr>
                <w:color w:val="333333"/>
                <w:sz w:val="15"/>
              </w:rPr>
              <w:t>HIGH-POTENTIAL TALENT</w:t>
            </w:r>
            <w:r>
              <w:rPr>
                <w:color w:val="333333"/>
                <w:sz w:val="15"/>
              </w:rPr>
              <w:br/>
              <w:t>The move serves the business and develops future talent.</w:t>
            </w:r>
          </w:p>
        </w:tc>
      </w:tr>
      <w:tr w:rsidR="00F5037E" w14:paraId="734348C3" w14:textId="77777777">
        <w:trPr>
          <w:cantSplit/>
        </w:trPr>
        <w:tc>
          <w:tcPr>
            <w:tcW w:w="1728" w:type="dxa"/>
            <w:tcBorders>
              <w:top w:val="single" w:sz="5" w:space="0" w:color="B7C3D0"/>
              <w:left w:val="single" w:sz="5" w:space="0" w:color="B7C3D0"/>
              <w:bottom w:val="single" w:sz="5" w:space="0" w:color="B7C3D0"/>
              <w:right w:val="single" w:sz="5" w:space="0" w:color="B7C3D0"/>
            </w:tcBorders>
            <w:shd w:val="clear" w:color="auto" w:fill="1D2754"/>
            <w:tcMar>
              <w:top w:w="55" w:type="dxa"/>
              <w:left w:w="70" w:type="dxa"/>
              <w:bottom w:w="55" w:type="dxa"/>
              <w:right w:w="70" w:type="dxa"/>
            </w:tcMar>
            <w:vAlign w:val="center"/>
          </w:tcPr>
          <w:p w14:paraId="7AF4B79C" w14:textId="77777777" w:rsidR="00F5037E" w:rsidRDefault="00752F86">
            <w:pPr>
              <w:spacing w:after="0"/>
              <w:jc w:val="center"/>
            </w:pPr>
            <w:r>
              <w:rPr>
                <w:b/>
                <w:color w:val="FFFFFF"/>
                <w:sz w:val="15"/>
              </w:rPr>
              <w:t>Lower company benefit</w:t>
            </w:r>
          </w:p>
        </w:tc>
        <w:tc>
          <w:tcPr>
            <w:tcW w:w="4003" w:type="dxa"/>
            <w:tcBorders>
              <w:top w:val="single" w:sz="5" w:space="0" w:color="B7C3D0"/>
              <w:left w:val="single" w:sz="5" w:space="0" w:color="B7C3D0"/>
              <w:bottom w:val="single" w:sz="5" w:space="0" w:color="B7C3D0"/>
              <w:right w:val="single" w:sz="5" w:space="0" w:color="B7C3D0"/>
            </w:tcBorders>
            <w:shd w:val="clear" w:color="auto" w:fill="F4F8FC"/>
            <w:tcMar>
              <w:top w:w="55" w:type="dxa"/>
              <w:left w:w="70" w:type="dxa"/>
              <w:bottom w:w="55" w:type="dxa"/>
              <w:right w:w="70" w:type="dxa"/>
            </w:tcMar>
            <w:vAlign w:val="center"/>
          </w:tcPr>
          <w:p w14:paraId="1934DC8D" w14:textId="77777777" w:rsidR="00F5037E" w:rsidRDefault="00752F86">
            <w:pPr>
              <w:spacing w:after="0"/>
              <w:jc w:val="center"/>
            </w:pPr>
            <w:r>
              <w:rPr>
                <w:color w:val="333333"/>
                <w:sz w:val="15"/>
              </w:rPr>
              <w:t>TACTICAL FIT</w:t>
            </w:r>
            <w:r>
              <w:rPr>
                <w:color w:val="333333"/>
                <w:sz w:val="15"/>
              </w:rPr>
              <w:br/>
              <w:t>A current employee can fill a needed role.</w:t>
            </w:r>
          </w:p>
        </w:tc>
        <w:tc>
          <w:tcPr>
            <w:tcW w:w="3988" w:type="dxa"/>
            <w:tcBorders>
              <w:top w:val="single" w:sz="5" w:space="0" w:color="B7C3D0"/>
              <w:left w:val="single" w:sz="5" w:space="0" w:color="B7C3D0"/>
              <w:bottom w:val="single" w:sz="5" w:space="0" w:color="B7C3D0"/>
              <w:right w:val="single" w:sz="5" w:space="0" w:color="B7C3D0"/>
            </w:tcBorders>
            <w:shd w:val="clear" w:color="auto" w:fill="F4F8FC"/>
            <w:tcMar>
              <w:top w:w="55" w:type="dxa"/>
              <w:left w:w="70" w:type="dxa"/>
              <w:bottom w:w="55" w:type="dxa"/>
              <w:right w:w="70" w:type="dxa"/>
            </w:tcMar>
            <w:vAlign w:val="center"/>
          </w:tcPr>
          <w:p w14:paraId="1BFDD0E3" w14:textId="77777777" w:rsidR="00F5037E" w:rsidRDefault="00752F86">
            <w:pPr>
              <w:spacing w:after="0"/>
              <w:jc w:val="center"/>
            </w:pPr>
            <w:r>
              <w:rPr>
                <w:color w:val="333333"/>
                <w:sz w:val="15"/>
              </w:rPr>
              <w:t>CAREER OR LIFESTYLE BUILDERS</w:t>
            </w:r>
            <w:r>
              <w:rPr>
                <w:color w:val="333333"/>
                <w:sz w:val="15"/>
              </w:rPr>
              <w:br/>
              <w:t>The employee primarily seeks the location or role.</w:t>
            </w:r>
          </w:p>
        </w:tc>
      </w:tr>
    </w:tbl>
    <w:p w14:paraId="774B58CC" w14:textId="77777777" w:rsidR="00F5037E" w:rsidRDefault="00752F86">
      <w:r>
        <w:t>This framework is a way to test whether the proposed investment is proportionate to the business need and the employee’s own benefit from the move. It should carry forward into the assignment structure and many of the benefit decisions discussed later: stronger company need and lower employee benefit generally justify greater organizational support, while employee-initiated or lifestyle-driven moves may support a more limited proposition. It does not replace analysis of the actual barriers created by the employee’s circumstances, origin, destination, and compliance requirements.</w:t>
      </w:r>
    </w:p>
    <w:tbl>
      <w:tblPr>
        <w:tblW w:w="0" w:type="auto"/>
        <w:jc w:val="center"/>
        <w:tblLayout w:type="fixed"/>
        <w:tblLook w:val="04A0" w:firstRow="1" w:lastRow="0" w:firstColumn="1" w:lastColumn="0" w:noHBand="0" w:noVBand="1"/>
      </w:tblPr>
      <w:tblGrid>
        <w:gridCol w:w="9994"/>
      </w:tblGrid>
      <w:tr w:rsidR="00F5037E" w14:paraId="12068C46"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209A82F9" w14:textId="77777777" w:rsidR="00F5037E" w:rsidRDefault="00752F86">
            <w:pPr>
              <w:spacing w:after="80"/>
            </w:pPr>
            <w:r>
              <w:rPr>
                <w:b/>
                <w:color w:val="1D2754"/>
              </w:rPr>
              <w:t>Questions to resolve</w:t>
            </w:r>
          </w:p>
          <w:p w14:paraId="629F3D7B" w14:textId="77777777" w:rsidR="00F5037E" w:rsidRDefault="00752F86">
            <w:pPr>
              <w:spacing w:after="0" w:line="259" w:lineRule="auto"/>
            </w:pPr>
            <w:r>
              <w:rPr>
                <w:color w:val="333333"/>
                <w:sz w:val="20"/>
              </w:rPr>
              <w:t>Which employee groups will be eligible? Is the move company-directed, developmental, recruitment-driven, or employee-initiated? Are there distinct levels of business need that justify different policy tiers? What commitments are necessary to secure acceptance and successful completion?</w:t>
            </w:r>
          </w:p>
        </w:tc>
      </w:tr>
    </w:tbl>
    <w:p w14:paraId="2040252F" w14:textId="77777777" w:rsidR="00F5037E" w:rsidRDefault="00F5037E">
      <w:pPr>
        <w:spacing w:after="0"/>
      </w:pPr>
    </w:p>
    <w:p w14:paraId="57DF480D" w14:textId="77777777" w:rsidR="00F5037E" w:rsidRDefault="00752F86">
      <w:pPr>
        <w:pStyle w:val="Heading2"/>
        <w:spacing w:before="160" w:after="80"/>
      </w:pPr>
      <w:r>
        <w:rPr>
          <w:rFonts w:ascii="Arial" w:hAnsi="Arial"/>
        </w:rPr>
        <w:t>Decision 4: Where are employees going - and where are they coming from?</w:t>
      </w:r>
    </w:p>
    <w:p w14:paraId="2BDBFB9B" w14:textId="77777777" w:rsidR="00F5037E" w:rsidRDefault="00752F86">
      <w:pPr>
        <w:spacing w:after="140"/>
      </w:pPr>
      <w:r>
        <w:rPr>
          <w:color w:val="333333"/>
        </w:rPr>
        <w:t>In mobility, geography matters. A company moving employees from around the world into rural Wisconsin faced limited temporary housing, fewer schooling alternatives, constrained career options for spouses, and a smaller support ecosystem. Another organization bringing petroleum engineers from multiple countries into rural Louisiana encountered different cultural, logistical, and family challenges for different employee groups.</w:t>
      </w:r>
    </w:p>
    <w:p w14:paraId="31503DD4" w14:textId="77777777" w:rsidR="00F5037E" w:rsidRDefault="00752F86">
      <w:pPr>
        <w:spacing w:after="140"/>
      </w:pPr>
      <w:r>
        <w:rPr>
          <w:color w:val="333333"/>
        </w:rPr>
        <w:t>The same job can require a different policy response depending on location. Supporting talent at a manufacturing facility in rural China is different from supporting the same role in Cleveland. Moving an engineer to Dubai presents different issues from moving that person to an oil field in Sumatra.</w:t>
      </w:r>
    </w:p>
    <w:p w14:paraId="6E60C3A8" w14:textId="77777777" w:rsidR="00F5037E" w:rsidRDefault="00752F86">
      <w:pPr>
        <w:spacing w:after="140"/>
      </w:pPr>
      <w:r>
        <w:rPr>
          <w:color w:val="333333"/>
        </w:rPr>
        <w:t>Policy design should therefore consider more than national cost-of-living differences. Housing availability, security, schooling, transportation, language, cultural distance, medical access, family circumstances, immigration pathways, payroll capability, and the local supplier network can all affect the practical support required.</w:t>
      </w:r>
    </w:p>
    <w:tbl>
      <w:tblPr>
        <w:tblW w:w="0" w:type="auto"/>
        <w:jc w:val="center"/>
        <w:tblLayout w:type="fixed"/>
        <w:tblLook w:val="04A0" w:firstRow="1" w:lastRow="0" w:firstColumn="1" w:lastColumn="0" w:noHBand="0" w:noVBand="1"/>
      </w:tblPr>
      <w:tblGrid>
        <w:gridCol w:w="9994"/>
      </w:tblGrid>
      <w:tr w:rsidR="00F5037E" w14:paraId="5F096F43"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113EF57A" w14:textId="77777777" w:rsidR="00F5037E" w:rsidRDefault="00752F86">
            <w:pPr>
              <w:spacing w:after="80"/>
            </w:pPr>
            <w:r>
              <w:rPr>
                <w:b/>
                <w:color w:val="1D2754"/>
              </w:rPr>
              <w:t>Questions to resolve</w:t>
            </w:r>
          </w:p>
          <w:p w14:paraId="375BFD19" w14:textId="77777777" w:rsidR="00F5037E" w:rsidRDefault="00752F86">
            <w:pPr>
              <w:spacing w:after="0" w:line="259" w:lineRule="auto"/>
            </w:pPr>
            <w:r>
              <w:rPr>
                <w:color w:val="333333"/>
                <w:sz w:val="20"/>
              </w:rPr>
              <w:t>Which origin and destination combinations are most likely? Are locations high-cost, remote, difficult, or unusually regulated? What housing, schooling, family, security, or transportation constraints exist? Can the same policy be administered consistently across those geographies?</w:t>
            </w:r>
          </w:p>
        </w:tc>
      </w:tr>
    </w:tbl>
    <w:p w14:paraId="07FE4C9D" w14:textId="77777777" w:rsidR="00F5037E" w:rsidRDefault="00F5037E">
      <w:pPr>
        <w:spacing w:after="0"/>
      </w:pPr>
    </w:p>
    <w:p w14:paraId="41CDCC65" w14:textId="77777777" w:rsidR="00F5037E" w:rsidRDefault="00752F86">
      <w:pPr>
        <w:pStyle w:val="Heading2"/>
        <w:spacing w:before="160" w:after="80"/>
      </w:pPr>
      <w:r>
        <w:rPr>
          <w:rFonts w:ascii="Arial" w:hAnsi="Arial"/>
        </w:rPr>
        <w:t>Decision 5: What are the financial boundaries, and how will success be demonstrated?</w:t>
      </w:r>
    </w:p>
    <w:p w14:paraId="0F2722B9" w14:textId="77777777" w:rsidR="00F5037E" w:rsidRDefault="00752F86">
      <w:pPr>
        <w:spacing w:after="140"/>
      </w:pPr>
      <w:r>
        <w:rPr>
          <w:color w:val="333333"/>
        </w:rPr>
        <w:t>Every mobility program operates within financial constraints. One national organization elected to provide small lump sums for company-directed domestic moves: $2,500 for single employees, $5,000 for married employees, and $7,500 for families. Its HR leaders understood that some employees would spend more than the allowance. They also understood that additional mobility spending would compete with other strategic investments.</w:t>
      </w:r>
    </w:p>
    <w:p w14:paraId="6B6BD97D" w14:textId="77777777" w:rsidR="00F5037E" w:rsidRDefault="00752F86">
      <w:pPr>
        <w:spacing w:after="140"/>
      </w:pPr>
      <w:r>
        <w:rPr>
          <w:color w:val="333333"/>
        </w:rPr>
        <w:t>The policy was not pretending to make every employee whole. It offered a defined level of support that the company could afford, and the broader employee value proposition was sufficient for employees to continue accepting moves. That is a more defensible outcome than adopting a richer market practice the organization cannot sustain or administer consistently.</w:t>
      </w:r>
    </w:p>
    <w:p w14:paraId="238378CA" w14:textId="77777777" w:rsidR="00F5037E" w:rsidRDefault="00752F86">
      <w:pPr>
        <w:spacing w:after="140"/>
      </w:pPr>
      <w:r>
        <w:rPr>
          <w:color w:val="333333"/>
        </w:rPr>
        <w:t>Financial design should include both the anticipated cost of benefits and the cost of administration, tax treatment, suppliers, payroll, exceptions, and internal time. It should also identify how the organization will know whether the policy is working. Measures may include move acceptance, completion, cost predictability, exception frequency, employee experience, retention, and the business outcomes the move was intended to support.</w:t>
      </w:r>
    </w:p>
    <w:p w14:paraId="05BD91E9" w14:textId="77777777" w:rsidR="00D467E4" w:rsidRDefault="00752F86">
      <w:pPr>
        <w:pStyle w:val="Heading3"/>
      </w:pPr>
      <w:r>
        <w:t>Every policy must be pressure-tested against real costs</w:t>
      </w:r>
    </w:p>
    <w:p w14:paraId="549357C8" w14:textId="77777777" w:rsidR="00D467E4" w:rsidRDefault="00752F86">
      <w:r>
        <w:t>Generic assumptions can make almost any design appear affordable. One HR team modeled standard policies around expected annual assignment costs of roughly $20,000-$40,000. When actual employee scenarios were priced, moves into third-tier cities in China exceeded $100,000. Cost estimates should use the real employee populations, family circumstances, locations, tax treatment, and suppliers the organization expects - not a hypothetical average move.</w:t>
      </w:r>
    </w:p>
    <w:tbl>
      <w:tblPr>
        <w:tblW w:w="0" w:type="auto"/>
        <w:jc w:val="center"/>
        <w:tblLayout w:type="fixed"/>
        <w:tblLook w:val="04A0" w:firstRow="1" w:lastRow="0" w:firstColumn="1" w:lastColumn="0" w:noHBand="0" w:noVBand="1"/>
      </w:tblPr>
      <w:tblGrid>
        <w:gridCol w:w="9994"/>
      </w:tblGrid>
      <w:tr w:rsidR="00F5037E" w14:paraId="1BABDD7A"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339B8014" w14:textId="77777777" w:rsidR="00F5037E" w:rsidRDefault="00752F86">
            <w:pPr>
              <w:spacing w:after="80"/>
            </w:pPr>
            <w:r>
              <w:rPr>
                <w:b/>
                <w:color w:val="1D2754"/>
              </w:rPr>
              <w:t>Questions to resolve</w:t>
            </w:r>
          </w:p>
          <w:p w14:paraId="6F8D52BC" w14:textId="77777777" w:rsidR="00F5037E" w:rsidRDefault="00752F86">
            <w:pPr>
              <w:spacing w:after="0" w:line="259" w:lineRule="auto"/>
            </w:pPr>
            <w:r>
              <w:rPr>
                <w:color w:val="333333"/>
                <w:sz w:val="20"/>
              </w:rPr>
              <w:t>What can the organization afford per move and across the expected annual volume? Which costs are essential, discretionary, or employee-responsibility? How will costs be estimated and approved? What outcomes will determine whether the program is successful?</w:t>
            </w:r>
          </w:p>
        </w:tc>
      </w:tr>
    </w:tbl>
    <w:p w14:paraId="2B5C4971" w14:textId="77777777" w:rsidR="00F5037E" w:rsidRDefault="00F5037E">
      <w:pPr>
        <w:spacing w:after="0"/>
      </w:pPr>
    </w:p>
    <w:p w14:paraId="0E7A4FC4" w14:textId="77777777" w:rsidR="00F5037E" w:rsidRDefault="00752F86">
      <w:pPr>
        <w:pStyle w:val="Heading1"/>
        <w:spacing w:before="240" w:after="80"/>
      </w:pPr>
      <w:r>
        <w:rPr>
          <w:rFonts w:ascii="Arial" w:hAnsi="Arial"/>
        </w:rPr>
        <w:t>3. Choose the Policy Architecture After You Understand the Move</w:t>
      </w:r>
    </w:p>
    <w:p w14:paraId="0552D245" w14:textId="77777777" w:rsidR="00F5037E" w:rsidRDefault="00752F86">
      <w:pPr>
        <w:keepNext/>
        <w:spacing w:after="200"/>
      </w:pPr>
      <w:r>
        <w:rPr>
          <w:i/>
          <w:color w:val="4472C4"/>
        </w:rPr>
        <w:t>Use labels only after examining the facts of the move.</w:t>
      </w:r>
    </w:p>
    <w:p w14:paraId="55596028" w14:textId="77777777" w:rsidR="00F5037E" w:rsidRDefault="00752F86">
      <w:pPr>
        <w:spacing w:after="140"/>
      </w:pPr>
      <w:r>
        <w:rPr>
          <w:color w:val="333333"/>
        </w:rPr>
        <w:t>The global mobility policy landscape includes business travel, extended travel, short-term assignments, long-term international assignments, permanent transfers, commuter arrangements, and remote or cross-border work. These labels create useful categories, but they can also create false certainty.</w:t>
      </w:r>
    </w:p>
    <w:p w14:paraId="60CAB61F" w14:textId="77777777" w:rsidR="00F5037E" w:rsidRDefault="00752F86">
      <w:pPr>
        <w:spacing w:after="140"/>
      </w:pPr>
      <w:r>
        <w:rPr>
          <w:color w:val="333333"/>
        </w:rPr>
        <w:t>Duration is important, but duration alone does not determine the correct approach. Two employees working in another country for nine months may require different policies if one is maintaining a home and family in the origin location while the other is effectively relocating. A move described as “temporary” may create long-term employment, payroll, tax, or family consequences. A move described as “permanent” may still involve continuing obligations in the origin country.</w:t>
      </w:r>
    </w:p>
    <w:p w14:paraId="5BB9AA10" w14:textId="77777777" w:rsidR="00F5037E" w:rsidRDefault="00752F86">
      <w:pPr>
        <w:spacing w:after="140"/>
      </w:pPr>
      <w:r>
        <w:rPr>
          <w:color w:val="333333"/>
        </w:rPr>
        <w:t>Before selecting a policy category, examine the actual arrangement: the business purpose, expected duration, employing entity, compensation basis, payroll location, immigration status, tax exposure, family location, housing expectations, retained home ties, and whether a return or onward move is planned.</w:t>
      </w:r>
    </w:p>
    <w:p w14:paraId="7CBE09BE" w14:textId="77777777" w:rsidR="00F5037E" w:rsidRDefault="00752F86">
      <w:pPr>
        <w:keepNext/>
        <w:spacing w:before="160" w:after="100"/>
        <w:jc w:val="center"/>
      </w:pPr>
      <w:r>
        <w:rPr>
          <w:b/>
          <w:color w:val="1D2754"/>
        </w:rPr>
        <w:t>Common policy architectures at a glance</w:t>
      </w:r>
    </w:p>
    <w:tbl>
      <w:tblPr>
        <w:tblW w:w="9719" w:type="dxa"/>
        <w:jc w:val="center"/>
        <w:tblLayout w:type="fixed"/>
        <w:tblLook w:val="04A0" w:firstRow="1" w:lastRow="0" w:firstColumn="1" w:lastColumn="0" w:noHBand="0" w:noVBand="1"/>
      </w:tblPr>
      <w:tblGrid>
        <w:gridCol w:w="2476"/>
        <w:gridCol w:w="3384"/>
        <w:gridCol w:w="3859"/>
      </w:tblGrid>
      <w:tr w:rsidR="00F5037E" w14:paraId="42E588AC" w14:textId="77777777">
        <w:trPr>
          <w:cantSplit/>
          <w:tblHeader/>
          <w:jc w:val="center"/>
        </w:trPr>
        <w:tc>
          <w:tcPr>
            <w:tcW w:w="2476"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2188A760" w14:textId="77777777" w:rsidR="00F5037E" w:rsidRDefault="00752F86">
            <w:r>
              <w:rPr>
                <w:b/>
                <w:color w:val="FFFFFF"/>
                <w:sz w:val="17"/>
              </w:rPr>
              <w:t>Architecture</w:t>
            </w:r>
          </w:p>
        </w:tc>
        <w:tc>
          <w:tcPr>
            <w:tcW w:w="3384"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1289D057" w14:textId="77777777" w:rsidR="00F5037E" w:rsidRDefault="00752F86">
            <w:r>
              <w:rPr>
                <w:b/>
                <w:color w:val="FFFFFF"/>
                <w:sz w:val="17"/>
              </w:rPr>
              <w:t>Core assumption</w:t>
            </w:r>
          </w:p>
        </w:tc>
        <w:tc>
          <w:tcPr>
            <w:tcW w:w="3859"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4C0A5180" w14:textId="77777777" w:rsidR="00F5037E" w:rsidRDefault="00752F86">
            <w:r>
              <w:rPr>
                <w:b/>
                <w:color w:val="FFFFFF"/>
                <w:sz w:val="17"/>
              </w:rPr>
              <w:t>Primary design question</w:t>
            </w:r>
          </w:p>
        </w:tc>
      </w:tr>
      <w:tr w:rsidR="00F5037E" w14:paraId="3C5B08CC" w14:textId="77777777">
        <w:trPr>
          <w:cantSplit/>
          <w:jc w:val="center"/>
        </w:trPr>
        <w:tc>
          <w:tcPr>
            <w:tcW w:w="2476"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AB8FAE8" w14:textId="77777777" w:rsidR="00F5037E" w:rsidRPr="00AA0A22" w:rsidRDefault="00752F86">
            <w:pPr>
              <w:spacing w:after="0" w:line="240" w:lineRule="auto"/>
              <w:rPr>
                <w:sz w:val="17"/>
                <w:szCs w:val="17"/>
              </w:rPr>
            </w:pPr>
            <w:r>
              <w:rPr>
                <w:b/>
                <w:color w:val="333333"/>
                <w:sz w:val="17"/>
                <w:szCs w:val="17"/>
              </w:rPr>
              <w:t>Business or extended travel</w:t>
            </w:r>
          </w:p>
        </w:tc>
        <w:tc>
          <w:tcPr>
            <w:tcW w:w="3384"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257EA0FA" w14:textId="77777777" w:rsidR="00D467E4" w:rsidRPr="00AA0A22" w:rsidRDefault="00752F86">
            <w:pPr>
              <w:rPr>
                <w:sz w:val="17"/>
                <w:szCs w:val="17"/>
              </w:rPr>
            </w:pPr>
            <w:r>
              <w:rPr>
                <w:sz w:val="17"/>
                <w:szCs w:val="17"/>
              </w:rPr>
              <w:t>The employee remains based in the home location and travels temporarily. The classification depends on the work performed and the facts of the arrangement, not duration alone.</w:t>
            </w:r>
          </w:p>
        </w:tc>
        <w:tc>
          <w:tcPr>
            <w:tcW w:w="385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05F252B1" w14:textId="77777777" w:rsidR="00D467E4" w:rsidRPr="00AA0A22" w:rsidRDefault="00752F86">
            <w:pPr>
              <w:rPr>
                <w:sz w:val="17"/>
                <w:szCs w:val="17"/>
              </w:rPr>
            </w:pPr>
            <w:r>
              <w:rPr>
                <w:sz w:val="17"/>
                <w:szCs w:val="17"/>
              </w:rPr>
              <w:t>What activities will the employee perform, what authority will the employee exercise, and which tax, immigration, payroll, or working-time obligations apply regardless of duration?</w:t>
            </w:r>
          </w:p>
        </w:tc>
      </w:tr>
      <w:tr w:rsidR="00F5037E" w14:paraId="459FD2F6" w14:textId="77777777">
        <w:trPr>
          <w:cantSplit/>
          <w:jc w:val="center"/>
        </w:trPr>
        <w:tc>
          <w:tcPr>
            <w:tcW w:w="2476"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B6D524E" w14:textId="77777777" w:rsidR="00F5037E" w:rsidRDefault="00752F86">
            <w:pPr>
              <w:spacing w:after="0" w:line="240" w:lineRule="auto"/>
            </w:pPr>
            <w:r>
              <w:rPr>
                <w:b/>
                <w:color w:val="333333"/>
                <w:sz w:val="17"/>
              </w:rPr>
              <w:t>Short-term assignment</w:t>
            </w:r>
          </w:p>
        </w:tc>
        <w:tc>
          <w:tcPr>
            <w:tcW w:w="3384"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BFB25CB" w14:textId="77777777" w:rsidR="00F5037E" w:rsidRDefault="00752F86">
            <w:pPr>
              <w:spacing w:after="0" w:line="240" w:lineRule="auto"/>
            </w:pPr>
            <w:r>
              <w:rPr>
                <w:color w:val="333333"/>
                <w:sz w:val="17"/>
              </w:rPr>
              <w:t>The arrangement is temporary; significant home ties are retained; host living costs are supported.</w:t>
            </w:r>
          </w:p>
        </w:tc>
        <w:tc>
          <w:tcPr>
            <w:tcW w:w="385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CE5C412" w14:textId="77777777" w:rsidR="00F5037E" w:rsidRDefault="00752F86">
            <w:pPr>
              <w:spacing w:after="0" w:line="240" w:lineRule="auto"/>
            </w:pPr>
            <w:r>
              <w:rPr>
                <w:color w:val="333333"/>
                <w:sz w:val="17"/>
              </w:rPr>
              <w:t>Which host costs will the company cover, and how will duplicate or reduced home costs be treated?</w:t>
            </w:r>
          </w:p>
        </w:tc>
      </w:tr>
      <w:tr w:rsidR="00F5037E" w14:paraId="01E4589B" w14:textId="77777777">
        <w:trPr>
          <w:cantSplit/>
          <w:jc w:val="center"/>
        </w:trPr>
        <w:tc>
          <w:tcPr>
            <w:tcW w:w="2476"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1F6CFAEA" w14:textId="77777777" w:rsidR="00F5037E" w:rsidRDefault="00752F86">
            <w:pPr>
              <w:spacing w:after="0" w:line="240" w:lineRule="auto"/>
            </w:pPr>
            <w:r>
              <w:rPr>
                <w:b/>
                <w:color w:val="333333"/>
                <w:sz w:val="17"/>
              </w:rPr>
              <w:t>Long-term international assignment</w:t>
            </w:r>
          </w:p>
        </w:tc>
        <w:tc>
          <w:tcPr>
            <w:tcW w:w="3384"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2E2AACA" w14:textId="77777777" w:rsidR="00F5037E" w:rsidRDefault="00752F86">
            <w:pPr>
              <w:spacing w:after="0" w:line="240" w:lineRule="auto"/>
            </w:pPr>
            <w:r>
              <w:rPr>
                <w:color w:val="333333"/>
                <w:sz w:val="17"/>
              </w:rPr>
              <w:t>The employee relocates for a defined period and is expected to return or move onward.</w:t>
            </w:r>
          </w:p>
        </w:tc>
        <w:tc>
          <w:tcPr>
            <w:tcW w:w="385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CBEE1AC" w14:textId="77777777" w:rsidR="00F5037E" w:rsidRDefault="00752F86">
            <w:pPr>
              <w:spacing w:after="0" w:line="240" w:lineRule="auto"/>
            </w:pPr>
            <w:r>
              <w:rPr>
                <w:color w:val="333333"/>
                <w:sz w:val="17"/>
              </w:rPr>
              <w:t>Will compensation and benefits be based on the home country, host country, or a hybrid/global model?</w:t>
            </w:r>
          </w:p>
        </w:tc>
      </w:tr>
      <w:tr w:rsidR="00F5037E" w14:paraId="0B0E5C83" w14:textId="77777777">
        <w:trPr>
          <w:cantSplit/>
          <w:jc w:val="center"/>
        </w:trPr>
        <w:tc>
          <w:tcPr>
            <w:tcW w:w="2476"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027F2F9" w14:textId="77777777" w:rsidR="00F5037E" w:rsidRDefault="00752F86">
            <w:pPr>
              <w:spacing w:after="0" w:line="240" w:lineRule="auto"/>
            </w:pPr>
            <w:r>
              <w:rPr>
                <w:b/>
                <w:color w:val="333333"/>
                <w:sz w:val="17"/>
              </w:rPr>
              <w:t>Permanent domestic or international transfer</w:t>
            </w:r>
          </w:p>
        </w:tc>
        <w:tc>
          <w:tcPr>
            <w:tcW w:w="3384"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7A10AF0" w14:textId="77777777" w:rsidR="00F5037E" w:rsidRDefault="00752F86">
            <w:pPr>
              <w:spacing w:after="0" w:line="240" w:lineRule="auto"/>
            </w:pPr>
            <w:r>
              <w:rPr>
                <w:color w:val="333333"/>
                <w:sz w:val="17"/>
              </w:rPr>
              <w:t>There is no planned return to the origin role or location.</w:t>
            </w:r>
          </w:p>
        </w:tc>
        <w:tc>
          <w:tcPr>
            <w:tcW w:w="385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482D4073" w14:textId="77777777" w:rsidR="00F5037E" w:rsidRDefault="00752F86">
            <w:pPr>
              <w:spacing w:after="0" w:line="240" w:lineRule="auto"/>
            </w:pPr>
            <w:r>
              <w:rPr>
                <w:color w:val="333333"/>
                <w:sz w:val="17"/>
              </w:rPr>
              <w:t>How will the organization support the transition while establishing sustainable host-location compensation and benefits?</w:t>
            </w:r>
          </w:p>
        </w:tc>
      </w:tr>
      <w:tr w:rsidR="00F5037E" w14:paraId="20082CA4" w14:textId="77777777">
        <w:trPr>
          <w:cantSplit/>
          <w:jc w:val="center"/>
        </w:trPr>
        <w:tc>
          <w:tcPr>
            <w:tcW w:w="2476"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40FFD42C" w14:textId="77777777" w:rsidR="00F5037E" w:rsidRDefault="00752F86">
            <w:pPr>
              <w:spacing w:after="0" w:line="240" w:lineRule="auto"/>
            </w:pPr>
            <w:r>
              <w:rPr>
                <w:b/>
                <w:color w:val="333333"/>
                <w:sz w:val="17"/>
              </w:rPr>
              <w:t>Commuter arrangement</w:t>
            </w:r>
          </w:p>
        </w:tc>
        <w:tc>
          <w:tcPr>
            <w:tcW w:w="3384"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17B79DF" w14:textId="77777777" w:rsidR="00F5037E" w:rsidRDefault="00752F86">
            <w:pPr>
              <w:spacing w:after="0" w:line="240" w:lineRule="auto"/>
            </w:pPr>
            <w:r>
              <w:rPr>
                <w:color w:val="333333"/>
                <w:sz w:val="17"/>
              </w:rPr>
              <w:t>The employee maintains a primary home and travels repeatedly to another work location.</w:t>
            </w:r>
          </w:p>
        </w:tc>
        <w:tc>
          <w:tcPr>
            <w:tcW w:w="385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8FF2A57" w14:textId="77777777" w:rsidR="00F5037E" w:rsidRDefault="00752F86">
            <w:pPr>
              <w:spacing w:after="0" w:line="240" w:lineRule="auto"/>
            </w:pPr>
            <w:r>
              <w:rPr>
                <w:color w:val="333333"/>
                <w:sz w:val="17"/>
              </w:rPr>
              <w:t>How will dual-residency costs, travel, tax, immigration, and fatigue be managed?</w:t>
            </w:r>
          </w:p>
        </w:tc>
      </w:tr>
      <w:tr w:rsidR="00F5037E" w14:paraId="219F6211" w14:textId="77777777">
        <w:trPr>
          <w:cantSplit/>
          <w:jc w:val="center"/>
        </w:trPr>
        <w:tc>
          <w:tcPr>
            <w:tcW w:w="2476"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4A54BAB" w14:textId="77777777" w:rsidR="00F5037E" w:rsidRDefault="00752F86">
            <w:pPr>
              <w:spacing w:after="0" w:line="240" w:lineRule="auto"/>
            </w:pPr>
            <w:r>
              <w:rPr>
                <w:b/>
                <w:color w:val="333333"/>
                <w:sz w:val="17"/>
              </w:rPr>
              <w:t>Remote or cross-border work</w:t>
            </w:r>
          </w:p>
        </w:tc>
        <w:tc>
          <w:tcPr>
            <w:tcW w:w="3384"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454D2E4" w14:textId="77777777" w:rsidR="00F5037E" w:rsidRDefault="00752F86">
            <w:pPr>
              <w:spacing w:after="0" w:line="240" w:lineRule="auto"/>
            </w:pPr>
            <w:r>
              <w:rPr>
                <w:color w:val="333333"/>
                <w:sz w:val="17"/>
              </w:rPr>
              <w:t>The employee works from a location other than the designated work location, often by choice.</w:t>
            </w:r>
          </w:p>
        </w:tc>
        <w:tc>
          <w:tcPr>
            <w:tcW w:w="385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452B1A5E" w14:textId="77777777" w:rsidR="00F5037E" w:rsidRDefault="00752F86">
            <w:pPr>
              <w:spacing w:after="0" w:line="240" w:lineRule="auto"/>
            </w:pPr>
            <w:r>
              <w:rPr>
                <w:color w:val="333333"/>
                <w:sz w:val="17"/>
              </w:rPr>
              <w:t>What risks are created by the actual work location, and should compensation, benefits, or employment arrangements change?</w:t>
            </w:r>
          </w:p>
        </w:tc>
      </w:tr>
    </w:tbl>
    <w:p w14:paraId="7A81D873" w14:textId="77777777" w:rsidR="00F5037E" w:rsidRDefault="00752F86">
      <w:pPr>
        <w:pStyle w:val="Heading2"/>
        <w:spacing w:before="160" w:after="80"/>
      </w:pPr>
      <w:r>
        <w:rPr>
          <w:rFonts w:ascii="Arial" w:hAnsi="Arial"/>
        </w:rPr>
        <w:t>Long-term international assignments require an additional compensation decision</w:t>
      </w:r>
    </w:p>
    <w:p w14:paraId="6259AF68" w14:textId="77777777" w:rsidR="00F5037E" w:rsidRDefault="00752F86">
      <w:pPr>
        <w:spacing w:after="140"/>
      </w:pPr>
      <w:r>
        <w:rPr>
          <w:color w:val="333333"/>
        </w:rPr>
        <w:t>Long-term international assignments generally use one of three approaches. A home-based or traditional expatriate model anchors compensation and benefits to the home location and often seeks to equalize or protect the employee from specified assignment-related differences. A host-based approach places the employee primarily on host compensation and benefits, with targeted accommodations for cross-border complications. A hybrid, global, or regional approach combines host-based positioning with selected allowances or protections that recognize the employee’s continuing ties and additional assignment costs.</w:t>
      </w:r>
    </w:p>
    <w:p w14:paraId="25AB1DE5" w14:textId="77777777" w:rsidR="00F5037E" w:rsidRDefault="00752F86">
      <w:pPr>
        <w:spacing w:after="140"/>
      </w:pPr>
      <w:r>
        <w:rPr>
          <w:color w:val="333333"/>
        </w:rPr>
        <w:t>The appropriate model depends on the organization’s purpose, talent market, assignment duration, employee population, cost philosophy, expected repatriation, and administrative capability. The technical calculations matter, but the strategic decision comes first: what employment and reward relationship is the organization trying to preserve during the assignment?</w:t>
      </w:r>
    </w:p>
    <w:tbl>
      <w:tblPr>
        <w:tblW w:w="0" w:type="auto"/>
        <w:jc w:val="center"/>
        <w:tblLayout w:type="fixed"/>
        <w:tblLook w:val="04A0" w:firstRow="1" w:lastRow="0" w:firstColumn="1" w:lastColumn="0" w:noHBand="0" w:noVBand="1"/>
      </w:tblPr>
      <w:tblGrid>
        <w:gridCol w:w="9994"/>
      </w:tblGrid>
      <w:tr w:rsidR="00F5037E" w14:paraId="7A1F8A82"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30A6B05C" w14:textId="77777777" w:rsidR="00F5037E" w:rsidRDefault="00752F86">
            <w:pPr>
              <w:spacing w:after="80"/>
            </w:pPr>
            <w:r>
              <w:rPr>
                <w:b/>
                <w:color w:val="1D2754"/>
              </w:rPr>
              <w:t>A practical warning</w:t>
            </w:r>
          </w:p>
          <w:p w14:paraId="05C88EEB" w14:textId="77777777" w:rsidR="00F5037E" w:rsidRDefault="00752F86">
            <w:pPr>
              <w:spacing w:after="0" w:line="259" w:lineRule="auto"/>
            </w:pPr>
            <w:r>
              <w:rPr>
                <w:color w:val="333333"/>
                <w:sz w:val="20"/>
              </w:rPr>
              <w:t>Do not select a policy because the label sounds familiar. First document the facts of the arrangement. Then select the architecture that best manages those facts.</w:t>
            </w:r>
          </w:p>
        </w:tc>
      </w:tr>
    </w:tbl>
    <w:p w14:paraId="2711A5D3" w14:textId="77777777" w:rsidR="00F5037E" w:rsidRDefault="00F5037E">
      <w:pPr>
        <w:spacing w:after="0"/>
      </w:pPr>
    </w:p>
    <w:p w14:paraId="6B134839" w14:textId="77777777" w:rsidR="00F5037E" w:rsidRDefault="00752F86">
      <w:pPr>
        <w:pStyle w:val="Heading1"/>
        <w:spacing w:before="240" w:after="80"/>
      </w:pPr>
      <w:r>
        <w:rPr>
          <w:rFonts w:ascii="Arial" w:hAnsi="Arial"/>
        </w:rPr>
        <w:t>4. Four Areas Every Mobility Policy Must Resolve</w:t>
      </w:r>
    </w:p>
    <w:p w14:paraId="5DC691DD" w14:textId="77777777" w:rsidR="00F5037E" w:rsidRDefault="00752F86">
      <w:pPr>
        <w:keepNext/>
        <w:spacing w:after="200"/>
      </w:pPr>
      <w:r>
        <w:rPr>
          <w:i/>
          <w:color w:val="4472C4"/>
        </w:rPr>
        <w:t>The document may be brief or detailed, but these decisions cannot be omitted.</w:t>
      </w:r>
    </w:p>
    <w:p w14:paraId="25D6BF80" w14:textId="77777777" w:rsidR="00F5037E" w:rsidRDefault="00752F86">
      <w:pPr>
        <w:pStyle w:val="Heading2"/>
        <w:spacing w:before="160" w:after="80"/>
      </w:pPr>
      <w:r>
        <w:rPr>
          <w:rFonts w:ascii="Arial" w:hAnsi="Arial"/>
        </w:rPr>
        <w:t>1. Employment parameters</w:t>
      </w:r>
    </w:p>
    <w:p w14:paraId="3A7D60C6" w14:textId="77777777" w:rsidR="00F5037E" w:rsidRDefault="00752F86">
      <w:pPr>
        <w:spacing w:after="140"/>
      </w:pPr>
      <w:r>
        <w:rPr>
          <w:color w:val="333333"/>
        </w:rPr>
        <w:t>Employment parameters define the employee’s journey from selection through completion, repatriation, transfer, or separation. For permanent transfers, the policy or related employment documents should identify which employing entity and location govern the employee’s ongoing terms. For assignments, the documents should clarify duration, extension, reporting relationships, expected return, and the effect of early termination.</w:t>
      </w:r>
    </w:p>
    <w:p w14:paraId="76F66C82" w14:textId="77777777" w:rsidR="00D467E4" w:rsidRDefault="00752F86">
      <w:pPr>
        <w:pStyle w:val="Heading3"/>
      </w:pPr>
      <w:r>
        <w:t>Plan the end before the beginning</w:t>
      </w:r>
    </w:p>
    <w:p w14:paraId="66ADBC99" w14:textId="77777777" w:rsidR="00D467E4" w:rsidRDefault="00752F86">
      <w:pPr>
        <w:keepLines/>
        <w:spacing w:after="140"/>
      </w:pPr>
      <w:r>
        <w:t>For an assignment, the end state should be considered before departure. Will the employee repatriate, localize, or move onward? Who owns the employee’s career, and how will the experience be used afterward? The company may not be able to guarantee a future role years in advance, but it should define the process, compensation transition, and support that will apply when the assignment ends.</w:t>
      </w:r>
    </w:p>
    <w:p w14:paraId="32291FB6" w14:textId="77777777" w:rsidR="00F5037E" w:rsidRDefault="00752F86">
      <w:pPr>
        <w:spacing w:after="140"/>
      </w:pPr>
      <w:r>
        <w:rPr>
          <w:color w:val="333333"/>
        </w:rPr>
        <w:t>Repayment or clawback provisions are common when the company pays substantial relocation costs, and the employee voluntarily leaves within a defined period. The reverse question is equally important: what will the company provide if it terminates the assignment or employment, particularly when the employee and family are in another country? Employees may reasonably seek assurance that they will not be stranded without support.</w:t>
      </w:r>
    </w:p>
    <w:p w14:paraId="6EB252B2" w14:textId="77777777" w:rsidR="00F5037E" w:rsidRDefault="00752F86">
      <w:pPr>
        <w:pStyle w:val="ListBullet"/>
        <w:spacing w:after="80"/>
        <w:ind w:hanging="230"/>
      </w:pPr>
      <w:r>
        <w:rPr>
          <w:color w:val="333333"/>
        </w:rPr>
        <w:t>Employing entity, employment location, and governing terms</w:t>
      </w:r>
    </w:p>
    <w:p w14:paraId="4A1B5EBD" w14:textId="77777777" w:rsidR="00F5037E" w:rsidRDefault="00752F86">
      <w:pPr>
        <w:pStyle w:val="ListBullet"/>
        <w:spacing w:after="80"/>
        <w:ind w:hanging="230"/>
      </w:pPr>
      <w:r>
        <w:rPr>
          <w:color w:val="333333"/>
        </w:rPr>
        <w:t>Assignment or transfer duration, extensions, and completion</w:t>
      </w:r>
    </w:p>
    <w:p w14:paraId="170E5E0A" w14:textId="77777777" w:rsidR="00F5037E" w:rsidRDefault="00752F86">
      <w:pPr>
        <w:pStyle w:val="ListBullet"/>
        <w:spacing w:after="80"/>
        <w:ind w:hanging="230"/>
      </w:pPr>
      <w:r>
        <w:rPr>
          <w:color w:val="333333"/>
        </w:rPr>
        <w:t>Repatriation, onward movement, or localization expectations</w:t>
      </w:r>
    </w:p>
    <w:p w14:paraId="1D3A7642" w14:textId="77777777" w:rsidR="00F5037E" w:rsidRDefault="00752F86">
      <w:pPr>
        <w:pStyle w:val="ListBullet"/>
        <w:spacing w:after="80"/>
        <w:ind w:hanging="230"/>
      </w:pPr>
      <w:r>
        <w:rPr>
          <w:color w:val="333333"/>
        </w:rPr>
        <w:t>Resignation, termination, repayment, and return support</w:t>
      </w:r>
    </w:p>
    <w:p w14:paraId="66D78689" w14:textId="77777777" w:rsidR="00F5037E" w:rsidRDefault="00752F86">
      <w:pPr>
        <w:pStyle w:val="ListBullet"/>
        <w:spacing w:after="80"/>
        <w:ind w:hanging="230"/>
      </w:pPr>
      <w:r>
        <w:rPr>
          <w:color w:val="333333"/>
        </w:rPr>
        <w:t>Eligibility, approvals, and exceptions</w:t>
      </w:r>
    </w:p>
    <w:p w14:paraId="75511753" w14:textId="77777777" w:rsidR="00F5037E" w:rsidRDefault="00752F86">
      <w:pPr>
        <w:pStyle w:val="Heading2"/>
        <w:spacing w:before="160" w:after="80"/>
      </w:pPr>
      <w:r>
        <w:rPr>
          <w:rFonts w:ascii="Arial" w:hAnsi="Arial"/>
        </w:rPr>
        <w:t>2. Total rewards</w:t>
      </w:r>
    </w:p>
    <w:p w14:paraId="42F8B806" w14:textId="77777777" w:rsidR="00F5037E" w:rsidRDefault="00752F86">
      <w:pPr>
        <w:spacing w:after="140"/>
      </w:pPr>
      <w:r>
        <w:rPr>
          <w:color w:val="333333"/>
        </w:rPr>
        <w:t>Cross-border moves make compensation and benefits more complex. The organization must determine how salary, incentives, retirement or pension benefits, health coverage, and other rewards will operate when the employee has ties to more than one country or moves into a different labor market.</w:t>
      </w:r>
    </w:p>
    <w:p w14:paraId="5AB8952C" w14:textId="77777777" w:rsidR="00F5037E" w:rsidRDefault="00752F86">
      <w:pPr>
        <w:spacing w:after="140"/>
      </w:pPr>
      <w:r>
        <w:t>Tax treatment is a central design issue. Tax equalization remains common in traditional home-based expatriate assignments, but it has fallen out of favor for many other assignment types as organizations rely more on host-based, local-plus, permanent-transfer, and employee-initiated approaches. Others apply a layer of tax protection; others provide consultation and filing support without insulating the employee from every tax difference. Domestic moves can also create multi-jurisdiction tax questions. Whatever the model, the policy should establish the organization’s principle, the circumstances in which specialist review is required, the support that will be provided, and the employee’s filing and payment obligations.</w:t>
      </w:r>
    </w:p>
    <w:p w14:paraId="763F8E66" w14:textId="77777777" w:rsidR="00D467E4" w:rsidRDefault="00752F86">
      <w:pPr>
        <w:pStyle w:val="Heading3"/>
      </w:pPr>
      <w:r>
        <w:t>Tax equalization has fallen out of favor for many assignment types; tax education cannot</w:t>
      </w:r>
    </w:p>
    <w:p w14:paraId="7F46E1F3" w14:textId="77777777" w:rsidR="00D467E4" w:rsidRDefault="00752F86">
      <w:r>
        <w:t>Full equalization is no longer the default across the expanding range of host-based, local-plus, permanent-transfer, and employee-initiated models. But sending an employee across jurisdictions without clearly explaining tax consequences, filing obligations, and available support is mobility malpractice and an invitation to compliance failure. I worked with an employer whose entire assignee population in Korea had failed to file legally required U.S. tax returns for several years because employees believed that being paid in Korea eliminated their U.S. obligations.</w:t>
      </w:r>
    </w:p>
    <w:p w14:paraId="5D573411" w14:textId="77777777" w:rsidR="00F5037E" w:rsidRDefault="00752F86">
      <w:pPr>
        <w:spacing w:after="140"/>
      </w:pPr>
      <w:r>
        <w:rPr>
          <w:color w:val="333333"/>
        </w:rPr>
        <w:t>Home-based international assignments may also use housing, cost-of-living, transportation, hardship, danger, or inconvenience allowances. The policy should define eligibility, calculation method, review frequency, payment mechanism, and the events that end or change the allowance. Payroll delivery - home, host, or split - must be capable of supporting the design.</w:t>
      </w:r>
    </w:p>
    <w:p w14:paraId="757555B3" w14:textId="77777777" w:rsidR="00F5037E" w:rsidRDefault="00752F86">
      <w:pPr>
        <w:pStyle w:val="ListBullet"/>
        <w:spacing w:after="80"/>
        <w:ind w:hanging="230"/>
      </w:pPr>
      <w:r>
        <w:rPr>
          <w:color w:val="333333"/>
        </w:rPr>
        <w:t>Compensation basis and salary administration</w:t>
      </w:r>
    </w:p>
    <w:p w14:paraId="3165B8F4" w14:textId="77777777" w:rsidR="00F5037E" w:rsidRDefault="00752F86">
      <w:pPr>
        <w:pStyle w:val="ListBullet"/>
        <w:spacing w:after="80"/>
        <w:ind w:hanging="230"/>
      </w:pPr>
      <w:r>
        <w:rPr>
          <w:color w:val="333333"/>
        </w:rPr>
        <w:t>Incentives, retirement, health, and other benefits</w:t>
      </w:r>
    </w:p>
    <w:p w14:paraId="2675251C" w14:textId="77777777" w:rsidR="00F5037E" w:rsidRDefault="00752F86">
      <w:pPr>
        <w:pStyle w:val="ListBullet"/>
        <w:spacing w:after="80"/>
        <w:ind w:hanging="230"/>
      </w:pPr>
      <w:r>
        <w:rPr>
          <w:color w:val="333333"/>
        </w:rPr>
        <w:t>Tax equalization, protection, consultation, and filing support</w:t>
      </w:r>
    </w:p>
    <w:p w14:paraId="771D6D0C" w14:textId="77777777" w:rsidR="00F5037E" w:rsidRDefault="00752F86">
      <w:pPr>
        <w:pStyle w:val="ListBullet"/>
        <w:spacing w:after="80"/>
        <w:ind w:hanging="230"/>
      </w:pPr>
      <w:r>
        <w:rPr>
          <w:color w:val="333333"/>
        </w:rPr>
        <w:t>Assignment allowances and premiums</w:t>
      </w:r>
    </w:p>
    <w:p w14:paraId="3EED694F" w14:textId="77777777" w:rsidR="00F5037E" w:rsidRDefault="00752F86">
      <w:pPr>
        <w:pStyle w:val="ListBullet"/>
        <w:spacing w:after="80"/>
        <w:ind w:hanging="230"/>
      </w:pPr>
      <w:r>
        <w:rPr>
          <w:color w:val="333333"/>
        </w:rPr>
        <w:t>Payroll, currency, exchange-rate, and payment mechanics</w:t>
      </w:r>
    </w:p>
    <w:p w14:paraId="34EDD098" w14:textId="77777777" w:rsidR="00F5037E" w:rsidRDefault="00752F86">
      <w:pPr>
        <w:pStyle w:val="Heading2"/>
        <w:spacing w:before="160" w:after="80"/>
      </w:pPr>
      <w:r>
        <w:rPr>
          <w:rFonts w:ascii="Arial" w:hAnsi="Arial"/>
        </w:rPr>
        <w:t>3. Relocation and assignment-specific support</w:t>
      </w:r>
    </w:p>
    <w:p w14:paraId="22682958" w14:textId="77777777" w:rsidR="00F5037E" w:rsidRDefault="00752F86">
      <w:pPr>
        <w:spacing w:after="140"/>
      </w:pPr>
      <w:r>
        <w:rPr>
          <w:color w:val="333333"/>
        </w:rPr>
        <w:t>Moving is logistically difficult and often highly stressful. Policy benefits exist to remove barriers, protect the business purpose of the move, and help the employee and family establish themselves successfully. The challenge is not to include every available benefit. It is to select the benefits that solve the organization’s actual mobility problems.</w:t>
      </w:r>
    </w:p>
    <w:p w14:paraId="1106CB72" w14:textId="77777777" w:rsidR="00F5037E" w:rsidRDefault="00752F86">
      <w:pPr>
        <w:spacing w:after="140"/>
      </w:pPr>
      <w:r>
        <w:rPr>
          <w:color w:val="333333"/>
        </w:rPr>
        <w:t>Common areas include household goods, storage, housing, home sale or lease termination, home finding, temporary living, final travel, family support, school assistance, language and intercultural training, and miscellaneous expenses. Each benefit requires more than a yes-or-no decision. The policy must also address eligibility, limits, timing, delivery method, documentation, tax treatment, supplier use, and exceptions.</w:t>
      </w:r>
    </w:p>
    <w:p w14:paraId="4CB789EA" w14:textId="77777777" w:rsidR="00D467E4" w:rsidRDefault="00752F86">
      <w:pPr>
        <w:pStyle w:val="Heading3"/>
      </w:pPr>
      <w:r>
        <w:t>Fairness across different employee circumstances</w:t>
      </w:r>
    </w:p>
    <w:p w14:paraId="3832A402" w14:textId="77777777" w:rsidR="00D467E4" w:rsidRDefault="00752F86">
      <w:pPr>
        <w:keepLines/>
        <w:spacing w:after="140"/>
      </w:pPr>
      <w:r>
        <w:t>Many traditional mobility policies were designed around a married homeowner with children. A current policy should test whether its provisions work fairly for renters and homeowners, single employees, spouses and domestic partners, dual-career households, employees with disabilities, employees responsible for children, parents, or other dependents, and families whose legal recognition or safety differs by destination. Consistency does not always require identical benefits; it requires a defensible response to materially different barriers within clear, consistently administered guardrails.</w:t>
      </w:r>
    </w:p>
    <w:tbl>
      <w:tblPr>
        <w:tblW w:w="0" w:type="auto"/>
        <w:jc w:val="center"/>
        <w:tblLayout w:type="fixed"/>
        <w:tblLook w:val="04A0" w:firstRow="1" w:lastRow="0" w:firstColumn="1" w:lastColumn="0" w:noHBand="0" w:noVBand="1"/>
      </w:tblPr>
      <w:tblGrid>
        <w:gridCol w:w="9994"/>
      </w:tblGrid>
      <w:tr w:rsidR="00F5037E" w14:paraId="1B4DB2CE"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09CABDF1" w14:textId="77777777" w:rsidR="00F5037E" w:rsidRDefault="00752F86">
            <w:pPr>
              <w:spacing w:after="80"/>
            </w:pPr>
            <w:r>
              <w:rPr>
                <w:b/>
                <w:color w:val="1D2754"/>
              </w:rPr>
              <w:t>Design principle</w:t>
            </w:r>
          </w:p>
          <w:p w14:paraId="41E57887" w14:textId="77777777" w:rsidR="00F5037E" w:rsidRDefault="00752F86">
            <w:pPr>
              <w:spacing w:after="0" w:line="259" w:lineRule="auto"/>
            </w:pPr>
            <w:r>
              <w:rPr>
                <w:color w:val="333333"/>
                <w:sz w:val="20"/>
              </w:rPr>
              <w:t>A benefit belongs in the policy because it removes a barrier, manages a risk, supports the employee value proposition, or improves the likelihood that the move will succeed - not merely because peers provide it.</w:t>
            </w:r>
          </w:p>
        </w:tc>
      </w:tr>
    </w:tbl>
    <w:p w14:paraId="0ED1418F" w14:textId="77777777" w:rsidR="00F5037E" w:rsidRDefault="00F5037E">
      <w:pPr>
        <w:spacing w:after="0"/>
      </w:pPr>
    </w:p>
    <w:p w14:paraId="0CCCD1AF" w14:textId="77777777" w:rsidR="00F5037E" w:rsidRDefault="00752F86">
      <w:pPr>
        <w:pStyle w:val="Heading2"/>
        <w:spacing w:before="160" w:after="80"/>
      </w:pPr>
      <w:r>
        <w:rPr>
          <w:rFonts w:ascii="Arial" w:hAnsi="Arial"/>
        </w:rPr>
        <w:t>4. Legal and compliance requirements</w:t>
      </w:r>
    </w:p>
    <w:p w14:paraId="2894EC09" w14:textId="77777777" w:rsidR="00F5037E" w:rsidRDefault="00752F86">
      <w:pPr>
        <w:spacing w:after="140"/>
      </w:pPr>
      <w:r>
        <w:rPr>
          <w:color w:val="333333"/>
        </w:rPr>
        <w:t>Mobility creates legal and compliance obligations that can extend beyond the obvious areas of immigration and individual tax. Employees may require work authorization, residence registration, local payroll, social insurance, or tax filings. The organization may need to consider employment rules, corporate tax exposure, permanent establishment, data handling, and local registrations.</w:t>
      </w:r>
    </w:p>
    <w:p w14:paraId="742FD75A" w14:textId="77777777" w:rsidR="00D467E4" w:rsidRDefault="00752F86">
      <w:pPr>
        <w:pStyle w:val="Heading3"/>
      </w:pPr>
      <w:r>
        <w:t>Duty of care and crisis response</w:t>
      </w:r>
    </w:p>
    <w:p w14:paraId="6A659FD6" w14:textId="77777777" w:rsidR="00D467E4" w:rsidRDefault="00752F86">
      <w:pPr>
        <w:keepLines/>
        <w:spacing w:after="140"/>
      </w:pPr>
      <w:r>
        <w:t>Compliance is not the only risk. The organization should also consider employee and family safety, medical access, security, emergency communication, evacuation or crisis response, and the protection of data and devices. The policy should identify when a location-specific risk assessment is required, which function owns response planning, and how employees and accompanying family members will receive support when conditions change.</w:t>
      </w:r>
    </w:p>
    <w:p w14:paraId="57B1D697" w14:textId="77777777" w:rsidR="00F5037E" w:rsidRDefault="00752F86">
      <w:pPr>
        <w:spacing w:after="140"/>
      </w:pPr>
      <w:r>
        <w:rPr>
          <w:color w:val="333333"/>
        </w:rPr>
        <w:t>The policy does not need to become a technical legal manual. It should establish mandatory review points, employee responsibilities, decision ownership, and the consequences of noncompliance. For example, a remote-work policy may provide few financial benefits while still requiring a formal assessment before an employee begins working from another jurisdiction.</w:t>
      </w:r>
    </w:p>
    <w:tbl>
      <w:tblPr>
        <w:tblW w:w="0" w:type="auto"/>
        <w:jc w:val="center"/>
        <w:tblLayout w:type="fixed"/>
        <w:tblLook w:val="04A0" w:firstRow="1" w:lastRow="0" w:firstColumn="1" w:lastColumn="0" w:noHBand="0" w:noVBand="1"/>
      </w:tblPr>
      <w:tblGrid>
        <w:gridCol w:w="9994"/>
      </w:tblGrid>
      <w:tr w:rsidR="00F5037E" w14:paraId="1F0858CA"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5C8256BD" w14:textId="77777777" w:rsidR="00F5037E" w:rsidRDefault="00752F86">
            <w:pPr>
              <w:spacing w:after="80"/>
            </w:pPr>
            <w:r>
              <w:rPr>
                <w:b/>
                <w:color w:val="1D2754"/>
              </w:rPr>
              <w:t>The policy’s role</w:t>
            </w:r>
          </w:p>
          <w:p w14:paraId="0F46827B" w14:textId="77777777" w:rsidR="00F5037E" w:rsidRDefault="00752F86">
            <w:pPr>
              <w:spacing w:after="0" w:line="259" w:lineRule="auto"/>
            </w:pPr>
            <w:r>
              <w:rPr>
                <w:color w:val="333333"/>
                <w:sz w:val="20"/>
              </w:rPr>
              <w:t>A mobility policy should not attempt to replace tax, legal, immigration, or payroll advice. It should make clear when that advice is required and who is responsible for obtaining and acting on it.</w:t>
            </w:r>
          </w:p>
        </w:tc>
      </w:tr>
    </w:tbl>
    <w:p w14:paraId="1E430863" w14:textId="77777777" w:rsidR="00F5037E" w:rsidRDefault="00F5037E">
      <w:pPr>
        <w:spacing w:after="0"/>
      </w:pPr>
    </w:p>
    <w:p w14:paraId="0CA590FD" w14:textId="77777777" w:rsidR="00F5037E" w:rsidRDefault="00752F86">
      <w:pPr>
        <w:pStyle w:val="Heading1"/>
        <w:spacing w:before="240" w:after="80"/>
      </w:pPr>
      <w:r>
        <w:rPr>
          <w:rFonts w:ascii="Arial" w:hAnsi="Arial"/>
        </w:rPr>
        <w:t>5. Use Benchmarking as Evidence, Not as the Answer</w:t>
      </w:r>
    </w:p>
    <w:p w14:paraId="46B7F747" w14:textId="77777777" w:rsidR="00F5037E" w:rsidRDefault="00752F86">
      <w:pPr>
        <w:keepNext/>
        <w:spacing w:after="200"/>
      </w:pPr>
      <w:r>
        <w:rPr>
          <w:i/>
          <w:color w:val="4472C4"/>
        </w:rPr>
        <w:t>Market practice provides evidence to inform strategy.</w:t>
      </w:r>
    </w:p>
    <w:p w14:paraId="1A962F91" w14:textId="77777777" w:rsidR="00F5037E" w:rsidRDefault="00752F86">
      <w:pPr>
        <w:spacing w:after="140"/>
      </w:pPr>
      <w:r>
        <w:rPr>
          <w:color w:val="333333"/>
        </w:rPr>
        <w:t>Benchmarking is valuable because it gives leaders a view of the external landscape. It can show which policy types are common, how organizations structure benefits, where limits tend to cluster, and whether an existing program appears unusually rich, lean, complex, or inconsistent.</w:t>
      </w:r>
    </w:p>
    <w:p w14:paraId="0EABA02D" w14:textId="77777777" w:rsidR="00F5037E" w:rsidRDefault="00752F86">
      <w:pPr>
        <w:spacing w:after="140"/>
      </w:pPr>
      <w:r>
        <w:rPr>
          <w:color w:val="333333"/>
        </w:rPr>
        <w:t>That information can reduce uncertainty and challenge internal assumptions. It can also create false confidence when the data is treated as a recommendation rather than evidence.</w:t>
      </w:r>
    </w:p>
    <w:p w14:paraId="692C914C" w14:textId="77777777" w:rsidR="00F5037E" w:rsidRDefault="00752F86">
      <w:pPr>
        <w:pStyle w:val="Heading2"/>
        <w:spacing w:before="160" w:after="80"/>
      </w:pPr>
      <w:r>
        <w:rPr>
          <w:rFonts w:ascii="Arial" w:hAnsi="Arial"/>
        </w:rPr>
        <w:t>Benchmarking can help answer</w:t>
      </w:r>
    </w:p>
    <w:p w14:paraId="6DCEFE3A" w14:textId="77777777" w:rsidR="00F5037E" w:rsidRDefault="00752F86">
      <w:pPr>
        <w:pStyle w:val="ListBullet"/>
        <w:spacing w:after="80"/>
        <w:ind w:hanging="230"/>
      </w:pPr>
      <w:r>
        <w:rPr>
          <w:color w:val="333333"/>
        </w:rPr>
        <w:t>Which policies and benefits are commonly used for comparable move types and employee populations?</w:t>
      </w:r>
    </w:p>
    <w:p w14:paraId="38FBED4F" w14:textId="77777777" w:rsidR="00F5037E" w:rsidRDefault="00752F86">
      <w:pPr>
        <w:pStyle w:val="ListBullet"/>
        <w:spacing w:after="80"/>
        <w:ind w:hanging="230"/>
      </w:pPr>
      <w:r>
        <w:rPr>
          <w:color w:val="333333"/>
        </w:rPr>
        <w:t>What ranges, limits, or delivery methods appear in the market?</w:t>
      </w:r>
    </w:p>
    <w:p w14:paraId="33CBBB74" w14:textId="77777777" w:rsidR="00F5037E" w:rsidRDefault="00752F86">
      <w:pPr>
        <w:pStyle w:val="ListBullet"/>
        <w:spacing w:after="80"/>
        <w:ind w:hanging="230"/>
      </w:pPr>
      <w:r>
        <w:rPr>
          <w:color w:val="333333"/>
        </w:rPr>
        <w:t>Where does the current program differ materially from peers?</w:t>
      </w:r>
    </w:p>
    <w:p w14:paraId="29E31D1F" w14:textId="77777777" w:rsidR="00F5037E" w:rsidRDefault="00752F86">
      <w:pPr>
        <w:pStyle w:val="ListBullet"/>
        <w:spacing w:after="80"/>
        <w:ind w:hanging="230"/>
      </w:pPr>
      <w:r>
        <w:rPr>
          <w:color w:val="333333"/>
        </w:rPr>
        <w:t>Which practices are emerging, declining, or becoming administratively difficult?</w:t>
      </w:r>
    </w:p>
    <w:p w14:paraId="08E0E8C9" w14:textId="77777777" w:rsidR="00F5037E" w:rsidRDefault="00752F86">
      <w:pPr>
        <w:pStyle w:val="ListBullet"/>
        <w:spacing w:after="80"/>
        <w:ind w:hanging="230"/>
      </w:pPr>
      <w:r>
        <w:rPr>
          <w:color w:val="333333"/>
        </w:rPr>
        <w:t>Which areas deserve further financial, employee-experience, or compliance analysis?</w:t>
      </w:r>
    </w:p>
    <w:p w14:paraId="374F152D" w14:textId="77777777" w:rsidR="00F5037E" w:rsidRDefault="00752F86">
      <w:pPr>
        <w:pStyle w:val="Heading2"/>
        <w:spacing w:before="160" w:after="80"/>
      </w:pPr>
      <w:r>
        <w:rPr>
          <w:rFonts w:ascii="Arial" w:hAnsi="Arial"/>
        </w:rPr>
        <w:t>Benchmarking cannot decide</w:t>
      </w:r>
    </w:p>
    <w:p w14:paraId="6FEC34FD" w14:textId="77777777" w:rsidR="00F5037E" w:rsidRDefault="00752F86">
      <w:pPr>
        <w:pStyle w:val="ListBullet"/>
        <w:spacing w:after="80"/>
        <w:ind w:hanging="230"/>
      </w:pPr>
      <w:r>
        <w:rPr>
          <w:color w:val="333333"/>
        </w:rPr>
        <w:t>Why your organization moves people or which talent outcomes matter most.</w:t>
      </w:r>
    </w:p>
    <w:p w14:paraId="53B9BF5A" w14:textId="77777777" w:rsidR="00F5037E" w:rsidRDefault="00752F86">
      <w:pPr>
        <w:pStyle w:val="ListBullet"/>
        <w:spacing w:after="80"/>
        <w:ind w:hanging="230"/>
      </w:pPr>
      <w:r>
        <w:rPr>
          <w:color w:val="333333"/>
        </w:rPr>
        <w:t>How much risk, flexibility, cost, or administrative complexity your organization should accept.</w:t>
      </w:r>
    </w:p>
    <w:p w14:paraId="17EEB9D6" w14:textId="77777777" w:rsidR="00F5037E" w:rsidRDefault="00752F86">
      <w:pPr>
        <w:pStyle w:val="ListBullet"/>
        <w:spacing w:after="80"/>
        <w:ind w:hanging="230"/>
      </w:pPr>
      <w:r>
        <w:rPr>
          <w:color w:val="333333"/>
        </w:rPr>
        <w:t>Whether a common benefit supports your culture and employee value proposition.</w:t>
      </w:r>
    </w:p>
    <w:p w14:paraId="3C5C0DED" w14:textId="77777777" w:rsidR="00F5037E" w:rsidRDefault="00752F86">
      <w:pPr>
        <w:pStyle w:val="ListBullet"/>
        <w:spacing w:after="80"/>
        <w:ind w:hanging="230"/>
      </w:pPr>
      <w:r>
        <w:rPr>
          <w:color w:val="333333"/>
        </w:rPr>
        <w:t>Whether the benchmark population is truly comparable to your employees and geographies.</w:t>
      </w:r>
    </w:p>
    <w:p w14:paraId="328F0601" w14:textId="77777777" w:rsidR="00F5037E" w:rsidRDefault="00752F86">
      <w:pPr>
        <w:pStyle w:val="ListBullet"/>
        <w:spacing w:after="80"/>
        <w:ind w:hanging="230"/>
      </w:pPr>
      <w:r>
        <w:rPr>
          <w:color w:val="333333"/>
        </w:rPr>
        <w:t>Whether copying a peer’s provision will produce the same behavior, cost, or employee outcome in your organization.</w:t>
      </w:r>
    </w:p>
    <w:tbl>
      <w:tblPr>
        <w:tblW w:w="0" w:type="auto"/>
        <w:jc w:val="center"/>
        <w:tblLayout w:type="fixed"/>
        <w:tblLook w:val="04A0" w:firstRow="1" w:lastRow="0" w:firstColumn="1" w:lastColumn="0" w:noHBand="0" w:noVBand="1"/>
      </w:tblPr>
      <w:tblGrid>
        <w:gridCol w:w="9994"/>
      </w:tblGrid>
      <w:tr w:rsidR="00F5037E" w14:paraId="1F034406" w14:textId="77777777">
        <w:trPr>
          <w:cantSplit/>
          <w:jc w:val="center"/>
        </w:trPr>
        <w:tc>
          <w:tcPr>
            <w:tcW w:w="9994" w:type="dxa"/>
            <w:tcBorders>
              <w:top w:val="single" w:sz="8" w:space="0" w:color="27A9D6"/>
              <w:left w:val="nil"/>
              <w:bottom w:val="single" w:sz="8" w:space="0" w:color="27A9D6"/>
              <w:right w:val="nil"/>
            </w:tcBorders>
            <w:shd w:val="clear" w:color="auto" w:fill="F4F8FC"/>
            <w:tcMar>
              <w:top w:w="160" w:type="dxa"/>
              <w:left w:w="260" w:type="dxa"/>
              <w:bottom w:w="160" w:type="dxa"/>
              <w:right w:w="260" w:type="dxa"/>
            </w:tcMar>
          </w:tcPr>
          <w:p w14:paraId="33E62417" w14:textId="77777777" w:rsidR="00F5037E" w:rsidRDefault="00752F86">
            <w:pPr>
              <w:spacing w:after="0"/>
              <w:jc w:val="center"/>
            </w:pPr>
            <w:r>
              <w:rPr>
                <w:b/>
                <w:color w:val="1D2754"/>
                <w:sz w:val="26"/>
              </w:rPr>
              <w:t>Common practice tells you what others have chosen. It does not tell you why they chose it - or whether the choice worked.</w:t>
            </w:r>
          </w:p>
        </w:tc>
      </w:tr>
    </w:tbl>
    <w:p w14:paraId="5B556076" w14:textId="77777777" w:rsidR="00F5037E" w:rsidRDefault="00752F86">
      <w:pPr>
        <w:pStyle w:val="Heading2"/>
        <w:spacing w:before="160" w:after="80"/>
      </w:pPr>
      <w:r>
        <w:rPr>
          <w:rFonts w:ascii="Arial" w:hAnsi="Arial"/>
        </w:rPr>
        <w:t>Three common benchmarking mistakes</w:t>
      </w:r>
    </w:p>
    <w:p w14:paraId="7562773D" w14:textId="77777777" w:rsidR="00F5037E" w:rsidRDefault="00752F86">
      <w:pPr>
        <w:pStyle w:val="ListNumber"/>
        <w:spacing w:after="100"/>
        <w:ind w:left="403" w:hanging="259"/>
      </w:pPr>
      <w:r>
        <w:rPr>
          <w:color w:val="333333"/>
        </w:rPr>
        <w:t>Treating the average as the correct answer. An average may combine organizations with very different strategies, populations, and cost philosophies.</w:t>
      </w:r>
    </w:p>
    <w:p w14:paraId="5D856056" w14:textId="77777777" w:rsidR="00F5037E" w:rsidRDefault="00752F86">
      <w:pPr>
        <w:pStyle w:val="ListNumber"/>
        <w:spacing w:after="100"/>
        <w:ind w:left="403" w:hanging="259"/>
      </w:pPr>
      <w:r>
        <w:t>Treating prevalence as proof of effectiveness. A benefit can be common because it is familiar, not because it produces the best result. The reverse is also true: lower-prevalence benefits can deliver strong returns. Intercultural training is often eliminated as a $1,000-$2,500 “soft” expense, despite a substantial body of research and practitioner experience showing that it improves adjustment, assignment effectiveness, and executive performance across cultures. Spouse or partner support is similarly vulnerable, even though spouse and family difficulties remain a leading cause of assignment disruption and failure.</w:t>
      </w:r>
    </w:p>
    <w:p w14:paraId="60CDA2C6" w14:textId="77777777" w:rsidR="00F5037E" w:rsidRDefault="00752F86">
      <w:pPr>
        <w:pStyle w:val="ListNumber"/>
        <w:spacing w:after="100"/>
        <w:ind w:left="403" w:hanging="259"/>
      </w:pPr>
      <w:r>
        <w:rPr>
          <w:color w:val="333333"/>
        </w:rPr>
        <w:t>Comparing unlike moves. A policy for strategic international assignments should not be compared casually with employee-initiated transfers, graduate programs, or high-volume domestic relocations.</w:t>
      </w:r>
    </w:p>
    <w:p w14:paraId="4BEA7679" w14:textId="77777777" w:rsidR="00F5037E" w:rsidRDefault="00752F86">
      <w:pPr>
        <w:pStyle w:val="Heading2"/>
        <w:spacing w:before="160" w:after="80"/>
      </w:pPr>
      <w:r>
        <w:rPr>
          <w:rFonts w:ascii="Arial" w:hAnsi="Arial"/>
        </w:rPr>
        <w:t>A better way to use the data</w:t>
      </w:r>
    </w:p>
    <w:p w14:paraId="7CCFD30D" w14:textId="77777777" w:rsidR="00F5037E" w:rsidRDefault="00752F86">
      <w:pPr>
        <w:spacing w:after="140"/>
      </w:pPr>
      <w:r>
        <w:rPr>
          <w:color w:val="333333"/>
        </w:rPr>
        <w:t>Begin with a defined decision. Segment the relevant population and move type. Review the available market evidence. Then test the market practice against the organization’s talent purpose, culture, geography, budget, compliance environment, and operating capability. The final policy decision should include a rationale, not merely a percentile.</w:t>
      </w:r>
    </w:p>
    <w:p w14:paraId="4BE0846C" w14:textId="77777777" w:rsidR="00F5037E" w:rsidRDefault="00752F86">
      <w:pPr>
        <w:pStyle w:val="Heading1"/>
        <w:spacing w:before="240" w:after="80"/>
      </w:pPr>
      <w:r>
        <w:rPr>
          <w:rFonts w:ascii="Arial" w:hAnsi="Arial"/>
        </w:rPr>
        <w:t>6. What HR Can Build Internally, and Where Expertise Helps</w:t>
      </w:r>
    </w:p>
    <w:p w14:paraId="7F44EFE2" w14:textId="77777777" w:rsidR="00F5037E" w:rsidRDefault="00752F86">
      <w:pPr>
        <w:keepNext/>
        <w:spacing w:after="200"/>
      </w:pPr>
      <w:r>
        <w:rPr>
          <w:i/>
          <w:color w:val="4472C4"/>
        </w:rPr>
        <w:t>Internal ownership is essential. Specialist advice is most valuable where consequences are difficult to see in advance.</w:t>
      </w:r>
    </w:p>
    <w:p w14:paraId="12B3AA57" w14:textId="77777777" w:rsidR="00F5037E" w:rsidRDefault="00752F86">
      <w:pPr>
        <w:spacing w:after="140"/>
      </w:pPr>
      <w:r>
        <w:rPr>
          <w:color w:val="333333"/>
        </w:rPr>
        <w:t>An HR generalist or senior leader can absolutely lead the creation of a mobility policy. In fact, the most important decisions cannot be outsourced. A consultant cannot decide the organization’s talent priorities, culture, budget, employee proposition, or appetite for exceptions. Those choices belong to the organization.</w:t>
      </w:r>
    </w:p>
    <w:p w14:paraId="119A7B30" w14:textId="77777777" w:rsidR="00F5037E" w:rsidRDefault="00752F86">
      <w:pPr>
        <w:spacing w:after="140"/>
      </w:pPr>
      <w:r>
        <w:rPr>
          <w:color w:val="333333"/>
        </w:rPr>
        <w:t>Expertise becomes useful when the organization needs to translate those choices into a coherent architecture, understand technical consequences, evaluate cost, or anticipate how policy language will behave in real cases. Its value lies in making policy consequences visible before employees rely on it, while avoiding unnecessary complexity.</w:t>
      </w:r>
    </w:p>
    <w:p w14:paraId="6E74A106" w14:textId="77777777" w:rsidR="00F5037E" w:rsidRDefault="00752F86">
      <w:pPr>
        <w:keepNext/>
        <w:spacing w:before="160" w:after="100"/>
        <w:jc w:val="center"/>
      </w:pPr>
      <w:r>
        <w:rPr>
          <w:b/>
          <w:color w:val="1D2754"/>
        </w:rPr>
        <w:t>A practical division of responsibility</w:t>
      </w:r>
    </w:p>
    <w:tbl>
      <w:tblPr>
        <w:tblW w:w="9719" w:type="dxa"/>
        <w:jc w:val="center"/>
        <w:tblLayout w:type="fixed"/>
        <w:tblLook w:val="04A0" w:firstRow="1" w:lastRow="0" w:firstColumn="1" w:lastColumn="0" w:noHBand="0" w:noVBand="1"/>
      </w:tblPr>
      <w:tblGrid>
        <w:gridCol w:w="4780"/>
        <w:gridCol w:w="4939"/>
      </w:tblGrid>
      <w:tr w:rsidR="00F5037E" w14:paraId="350EA287" w14:textId="77777777">
        <w:trPr>
          <w:cantSplit/>
          <w:tblHeader/>
          <w:jc w:val="center"/>
        </w:trPr>
        <w:tc>
          <w:tcPr>
            <w:tcW w:w="4780"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0B52530D" w14:textId="77777777" w:rsidR="00F5037E" w:rsidRDefault="00752F86">
            <w:r>
              <w:rPr>
                <w:b/>
                <w:color w:val="FFFFFF"/>
                <w:sz w:val="17"/>
              </w:rPr>
              <w:t>HR and business leaders should own</w:t>
            </w:r>
          </w:p>
        </w:tc>
        <w:tc>
          <w:tcPr>
            <w:tcW w:w="4939"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7048D48A" w14:textId="77777777" w:rsidR="00F5037E" w:rsidRDefault="00752F86">
            <w:r>
              <w:rPr>
                <w:b/>
                <w:color w:val="FFFFFF"/>
                <w:sz w:val="17"/>
              </w:rPr>
              <w:t>Specialist expertise is especially useful for</w:t>
            </w:r>
          </w:p>
        </w:tc>
      </w:tr>
      <w:tr w:rsidR="00F5037E" w14:paraId="27C5CC7F" w14:textId="77777777">
        <w:trPr>
          <w:cantSplit/>
          <w:jc w:val="center"/>
        </w:trPr>
        <w:tc>
          <w:tcPr>
            <w:tcW w:w="4780"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0D7DDA35" w14:textId="77777777" w:rsidR="00F5037E" w:rsidRDefault="00752F86">
            <w:pPr>
              <w:spacing w:after="0" w:line="240" w:lineRule="auto"/>
            </w:pPr>
            <w:r>
              <w:rPr>
                <w:color w:val="333333"/>
                <w:sz w:val="17"/>
              </w:rPr>
              <w:t>The business purpose of mobility and the populations to be supported</w:t>
            </w:r>
          </w:p>
        </w:tc>
        <w:tc>
          <w:tcPr>
            <w:tcW w:w="493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028C978" w14:textId="77777777" w:rsidR="00F5037E" w:rsidRDefault="00752F86">
            <w:pPr>
              <w:spacing w:after="0" w:line="240" w:lineRule="auto"/>
            </w:pPr>
            <w:r>
              <w:rPr>
                <w:color w:val="333333"/>
                <w:sz w:val="17"/>
              </w:rPr>
              <w:t>Policy architecture and comparison of viable design options</w:t>
            </w:r>
          </w:p>
        </w:tc>
      </w:tr>
      <w:tr w:rsidR="00F5037E" w14:paraId="07BBF20F" w14:textId="77777777">
        <w:trPr>
          <w:cantSplit/>
          <w:jc w:val="center"/>
        </w:trPr>
        <w:tc>
          <w:tcPr>
            <w:tcW w:w="4780"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A42FE0C" w14:textId="77777777" w:rsidR="00F5037E" w:rsidRDefault="00752F86">
            <w:pPr>
              <w:spacing w:after="0" w:line="240" w:lineRule="auto"/>
            </w:pPr>
            <w:r>
              <w:rPr>
                <w:color w:val="333333"/>
                <w:sz w:val="17"/>
              </w:rPr>
              <w:t>The policy philosophy: employee choice, company control, flexibility, and equity</w:t>
            </w:r>
          </w:p>
        </w:tc>
        <w:tc>
          <w:tcPr>
            <w:tcW w:w="493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719115D" w14:textId="77777777" w:rsidR="00F5037E" w:rsidRDefault="00752F86">
            <w:pPr>
              <w:spacing w:after="0" w:line="240" w:lineRule="auto"/>
            </w:pPr>
            <w:r>
              <w:rPr>
                <w:color w:val="333333"/>
                <w:sz w:val="17"/>
              </w:rPr>
              <w:t>International compensation, allowances, tax, payroll, and benefits coordination</w:t>
            </w:r>
          </w:p>
        </w:tc>
      </w:tr>
      <w:tr w:rsidR="00F5037E" w14:paraId="5236F05B" w14:textId="77777777">
        <w:trPr>
          <w:cantSplit/>
          <w:jc w:val="center"/>
        </w:trPr>
        <w:tc>
          <w:tcPr>
            <w:tcW w:w="4780"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5041D1AF" w14:textId="77777777" w:rsidR="00F5037E" w:rsidRDefault="00752F86">
            <w:pPr>
              <w:spacing w:after="0" w:line="240" w:lineRule="auto"/>
            </w:pPr>
            <w:r>
              <w:rPr>
                <w:color w:val="333333"/>
                <w:sz w:val="17"/>
              </w:rPr>
              <w:t>Budget parameters, approval authority, and exception governance</w:t>
            </w:r>
          </w:p>
        </w:tc>
        <w:tc>
          <w:tcPr>
            <w:tcW w:w="493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0816152C" w14:textId="77777777" w:rsidR="00F5037E" w:rsidRDefault="00752F86">
            <w:pPr>
              <w:spacing w:after="0" w:line="240" w:lineRule="auto"/>
            </w:pPr>
            <w:r>
              <w:rPr>
                <w:color w:val="333333"/>
                <w:sz w:val="17"/>
              </w:rPr>
              <w:t>Immigration, employment, corporate-tax, and cross-border risk triggers</w:t>
            </w:r>
          </w:p>
        </w:tc>
      </w:tr>
      <w:tr w:rsidR="00F5037E" w14:paraId="72BE5472" w14:textId="77777777">
        <w:trPr>
          <w:cantSplit/>
          <w:jc w:val="center"/>
        </w:trPr>
        <w:tc>
          <w:tcPr>
            <w:tcW w:w="4780"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0AFB5D1" w14:textId="77777777" w:rsidR="00F5037E" w:rsidRDefault="00752F86">
            <w:pPr>
              <w:spacing w:after="0" w:line="240" w:lineRule="auto"/>
            </w:pPr>
            <w:r>
              <w:rPr>
                <w:color w:val="333333"/>
                <w:sz w:val="17"/>
              </w:rPr>
              <w:t>The intended employee value proposition and manager expectations</w:t>
            </w:r>
          </w:p>
        </w:tc>
        <w:tc>
          <w:tcPr>
            <w:tcW w:w="493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FDED5D7" w14:textId="77777777" w:rsidR="00F5037E" w:rsidRDefault="00752F86">
            <w:pPr>
              <w:spacing w:after="0" w:line="240" w:lineRule="auto"/>
            </w:pPr>
            <w:r>
              <w:rPr>
                <w:color w:val="333333"/>
                <w:sz w:val="17"/>
              </w:rPr>
              <w:t>Cost modeling, scenario testing, and estimate-to-actual analysis</w:t>
            </w:r>
          </w:p>
        </w:tc>
      </w:tr>
      <w:tr w:rsidR="00F5037E" w14:paraId="34D7E7AC" w14:textId="77777777">
        <w:trPr>
          <w:cantSplit/>
          <w:jc w:val="center"/>
        </w:trPr>
        <w:tc>
          <w:tcPr>
            <w:tcW w:w="4780"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0ABA943A" w14:textId="77777777" w:rsidR="00F5037E" w:rsidRDefault="00752F86">
            <w:pPr>
              <w:spacing w:after="0" w:line="240" w:lineRule="auto"/>
            </w:pPr>
            <w:r>
              <w:rPr>
                <w:color w:val="333333"/>
                <w:sz w:val="17"/>
              </w:rPr>
              <w:t>How success will be defined and who is accountable for the program</w:t>
            </w:r>
          </w:p>
        </w:tc>
        <w:tc>
          <w:tcPr>
            <w:tcW w:w="493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2D51D75" w14:textId="77777777" w:rsidR="00F5037E" w:rsidRDefault="00752F86">
            <w:pPr>
              <w:spacing w:after="0" w:line="240" w:lineRule="auto"/>
            </w:pPr>
            <w:r>
              <w:rPr>
                <w:color w:val="333333"/>
                <w:sz w:val="17"/>
              </w:rPr>
              <w:t>Home-sale structures, complex relocation benefits, and supplier design</w:t>
            </w:r>
          </w:p>
        </w:tc>
      </w:tr>
      <w:tr w:rsidR="00F5037E" w14:paraId="062E3A63" w14:textId="77777777">
        <w:trPr>
          <w:cantSplit/>
          <w:jc w:val="center"/>
        </w:trPr>
        <w:tc>
          <w:tcPr>
            <w:tcW w:w="4780"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9DF86FA" w14:textId="77777777" w:rsidR="00F5037E" w:rsidRDefault="00752F86">
            <w:pPr>
              <w:spacing w:after="0" w:line="240" w:lineRule="auto"/>
            </w:pPr>
            <w:r>
              <w:rPr>
                <w:color w:val="333333"/>
                <w:sz w:val="17"/>
              </w:rPr>
              <w:t>Final trade-off decisions and organizational risk acceptance</w:t>
            </w:r>
          </w:p>
        </w:tc>
        <w:tc>
          <w:tcPr>
            <w:tcW w:w="493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F4A0853" w14:textId="77777777" w:rsidR="00F5037E" w:rsidRDefault="001E4EB9">
            <w:pPr>
              <w:spacing w:after="0" w:line="240" w:lineRule="auto"/>
            </w:pPr>
            <w:r>
              <w:rPr>
                <w:color w:val="333333"/>
                <w:sz w:val="17"/>
              </w:rPr>
              <w:t>Framing of important decisions and tradeoffs, operational workflows, vendor models, technology requirements, and data</w:t>
            </w:r>
          </w:p>
        </w:tc>
      </w:tr>
      <w:tr w:rsidR="00F5037E" w14:paraId="0826262A" w14:textId="77777777">
        <w:trPr>
          <w:cantSplit/>
          <w:jc w:val="center"/>
        </w:trPr>
        <w:tc>
          <w:tcPr>
            <w:tcW w:w="4780"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682A089" w14:textId="77777777" w:rsidR="00F5037E" w:rsidRDefault="00752F86">
            <w:pPr>
              <w:spacing w:after="0" w:line="240" w:lineRule="auto"/>
            </w:pPr>
            <w:r>
              <w:rPr>
                <w:color w:val="333333"/>
                <w:sz w:val="17"/>
              </w:rPr>
              <w:t>Communication, change management, and ongoing policy ownership</w:t>
            </w:r>
          </w:p>
        </w:tc>
        <w:tc>
          <w:tcPr>
            <w:tcW w:w="493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4C5586EE" w14:textId="77777777" w:rsidR="00F5037E" w:rsidRDefault="00752F86">
            <w:pPr>
              <w:spacing w:after="0" w:line="240" w:lineRule="auto"/>
            </w:pPr>
            <w:r>
              <w:rPr>
                <w:color w:val="333333"/>
                <w:sz w:val="17"/>
              </w:rPr>
              <w:t>Drafting language that can be administered consistently across real cases</w:t>
            </w:r>
          </w:p>
        </w:tc>
      </w:tr>
    </w:tbl>
    <w:p w14:paraId="3A92DA99" w14:textId="77777777" w:rsidR="00F5037E" w:rsidRDefault="00752F86">
      <w:pPr>
        <w:spacing w:after="140"/>
      </w:pPr>
      <w:r>
        <w:rPr>
          <w:color w:val="333333"/>
        </w:rPr>
        <w:t>The dividing line is not “simple policy versus complicated policy.” A short policy can carry significant tax, employment, cost, and employee-relations consequences. Conversely, a sophisticated organization may intentionally adopt a straightforward policy after understanding the trade-offs.</w:t>
      </w:r>
    </w:p>
    <w:tbl>
      <w:tblPr>
        <w:tblW w:w="0" w:type="auto"/>
        <w:jc w:val="center"/>
        <w:tblLayout w:type="fixed"/>
        <w:tblLook w:val="04A0" w:firstRow="1" w:lastRow="0" w:firstColumn="1" w:lastColumn="0" w:noHBand="0" w:noVBand="1"/>
      </w:tblPr>
      <w:tblGrid>
        <w:gridCol w:w="9994"/>
      </w:tblGrid>
      <w:tr w:rsidR="00F5037E" w14:paraId="51649E41" w14:textId="77777777">
        <w:trPr>
          <w:cantSplit/>
          <w:jc w:val="center"/>
        </w:trPr>
        <w:tc>
          <w:tcPr>
            <w:tcW w:w="9994" w:type="dxa"/>
            <w:tcBorders>
              <w:top w:val="single" w:sz="8" w:space="0" w:color="27A9D6"/>
              <w:left w:val="nil"/>
              <w:bottom w:val="single" w:sz="8" w:space="0" w:color="27A9D6"/>
              <w:right w:val="nil"/>
            </w:tcBorders>
            <w:shd w:val="clear" w:color="auto" w:fill="F4F8FC"/>
            <w:tcMar>
              <w:top w:w="160" w:type="dxa"/>
              <w:left w:w="260" w:type="dxa"/>
              <w:bottom w:w="160" w:type="dxa"/>
              <w:right w:w="260" w:type="dxa"/>
            </w:tcMar>
          </w:tcPr>
          <w:p w14:paraId="2ED8E20B" w14:textId="77777777" w:rsidR="00F5037E" w:rsidRDefault="00752F86">
            <w:pPr>
              <w:spacing w:after="0"/>
              <w:jc w:val="center"/>
            </w:pPr>
            <w:r>
              <w:rPr>
                <w:b/>
                <w:color w:val="1D2754"/>
                <w:sz w:val="26"/>
              </w:rPr>
              <w:t>You can write the policy yourself. The difficult part is knowing what the words will cause.</w:t>
            </w:r>
          </w:p>
        </w:tc>
      </w:tr>
    </w:tbl>
    <w:p w14:paraId="1C1810C9" w14:textId="77777777" w:rsidR="00D467E4" w:rsidRDefault="00752F86">
      <w:pPr>
        <w:pStyle w:val="Heading2"/>
      </w:pPr>
      <w:r>
        <w:t>What the words can cause</w:t>
      </w:r>
    </w:p>
    <w:p w14:paraId="6248BB72" w14:textId="77777777" w:rsidR="00D467E4" w:rsidRDefault="00752F86">
      <w:r>
        <w:t>The following examples are anonymized, but each reflects a real policy or program. In every case, the individual provisions appeared reasonable. The problem emerged from the way the provisions interacted with employee behavior, cost, governance, or talent strategy.</w:t>
      </w:r>
    </w:p>
    <w:p w14:paraId="1B4BE8BF" w14:textId="77777777" w:rsidR="00D467E4" w:rsidRDefault="00752F86">
      <w:pPr>
        <w:pStyle w:val="Heading3"/>
      </w:pPr>
      <w:r>
        <w:t>A policy that made executives difficult to move</w:t>
      </w:r>
    </w:p>
    <w:p w14:paraId="4A2CA32E" w14:textId="77777777" w:rsidR="00D467E4" w:rsidRDefault="00752F86">
      <w:r>
        <w:t>A large global organization created a traditional expatriate policy for senior executives. Each provision was defensible, aligned with current practice, and responsive to employee need. Collectively, however, the package made assignments so financially attractive that some executives resisted repatriation or onward moves. Assignments continued for six, eight, and even twelve years, with some costing upward of $500,000 annually in additional mobility-related expense. The policy solved the immediate assignment problem while constricting the organization’s ability to move and develop senior leadership.</w:t>
      </w:r>
    </w:p>
    <w:p w14:paraId="2D7CF39A" w14:textId="77777777" w:rsidR="00D467E4" w:rsidRDefault="00752F86">
      <w:pPr>
        <w:pStyle w:val="Heading3"/>
      </w:pPr>
      <w:r>
        <w:t>A gross-up commitment that never reached the budget</w:t>
      </w:r>
    </w:p>
    <w:p w14:paraId="2D9A3742" w14:textId="77777777" w:rsidR="00D467E4" w:rsidRDefault="00752F86">
      <w:r>
        <w:t>A company created a reasonable lump-sum policy and obtained external cost data to estimate likely move expenses. The policy stated that eligible payments would be grossed up, but the implementation plan, budgeting process, and stakeholder communications did not account for the gross-up. Actual costs were 30-50 percent higher than stakeholders expected. The policy language was not inherently wrong; the failure was treating a tax commitment as a drafting detail rather than an operating and financial requirement.</w:t>
      </w:r>
    </w:p>
    <w:p w14:paraId="1046B06D" w14:textId="77777777" w:rsidR="00D467E4" w:rsidRDefault="00752F86">
      <w:pPr>
        <w:pStyle w:val="Heading3"/>
      </w:pPr>
      <w:r>
        <w:t>A strong policy that decentralized businesses dismantled</w:t>
      </w:r>
    </w:p>
    <w:p w14:paraId="02EB0A16" w14:textId="77777777" w:rsidR="00D467E4" w:rsidRDefault="00752F86">
      <w:r>
        <w:t>Another company created a well-designed mobility policy, but its operating culture gave individual businesses wide latitude and required each business to fund its own moves. Business leaders responded by removing benefits case by case to control their budgets. Over time, the central policy became largely meaningless: employees in similar circumstances received materially different support depending on business unit. The failure was not the benefit design. It was the mismatch between the policy, funding model, and decision rights.</w:t>
      </w:r>
    </w:p>
    <w:p w14:paraId="0DEEA238" w14:textId="77777777" w:rsidR="00F5037E" w:rsidRDefault="00752F86">
      <w:pPr>
        <w:pStyle w:val="Heading2"/>
        <w:spacing w:before="160" w:after="80"/>
      </w:pPr>
      <w:r>
        <w:rPr>
          <w:rFonts w:ascii="Arial" w:hAnsi="Arial"/>
        </w:rPr>
        <w:t>Signs that outside expertise may be particularly valuable</w:t>
      </w:r>
    </w:p>
    <w:p w14:paraId="16D208FA" w14:textId="77777777" w:rsidR="00F5037E" w:rsidRDefault="00752F86">
      <w:pPr>
        <w:pStyle w:val="ListBullet"/>
        <w:spacing w:after="80"/>
        <w:ind w:hanging="230"/>
      </w:pPr>
      <w:r>
        <w:rPr>
          <w:color w:val="333333"/>
        </w:rPr>
        <w:t>The organization is crossing borders or employing people in jurisdictions where it has limited experience.</w:t>
      </w:r>
    </w:p>
    <w:p w14:paraId="12AF2601" w14:textId="77777777" w:rsidR="00F5037E" w:rsidRDefault="00752F86">
      <w:pPr>
        <w:pStyle w:val="ListBullet"/>
        <w:spacing w:after="80"/>
        <w:ind w:hanging="230"/>
      </w:pPr>
      <w:r>
        <w:rPr>
          <w:color w:val="333333"/>
        </w:rPr>
        <w:t>Leaders are considering tax equalization, split payroll, housing or cost-of-living allowances, localization, or other technical compensation approaches.</w:t>
      </w:r>
    </w:p>
    <w:p w14:paraId="6451BD44" w14:textId="77777777" w:rsidR="00F5037E" w:rsidRDefault="00752F86">
      <w:pPr>
        <w:pStyle w:val="ListBullet"/>
        <w:spacing w:after="80"/>
        <w:ind w:hanging="230"/>
      </w:pPr>
      <w:r>
        <w:rPr>
          <w:color w:val="333333"/>
        </w:rPr>
        <w:t>The program includes home-sale assistance, complex family support, remote work, commuter arrangements, or difficult locations.</w:t>
      </w:r>
    </w:p>
    <w:p w14:paraId="2ED6CFCB" w14:textId="77777777" w:rsidR="00F5037E" w:rsidRDefault="00752F86">
      <w:pPr>
        <w:pStyle w:val="ListBullet"/>
        <w:spacing w:after="80"/>
        <w:ind w:hanging="230"/>
      </w:pPr>
      <w:r>
        <w:rPr>
          <w:color w:val="333333"/>
        </w:rPr>
        <w:t>The organization has inconsistent legacy practices, frequent exceptions, or negotiated packages that are difficult to unwind.</w:t>
      </w:r>
    </w:p>
    <w:p w14:paraId="01EE5C6B" w14:textId="77777777" w:rsidR="00F5037E" w:rsidRDefault="00752F86">
      <w:pPr>
        <w:pStyle w:val="ListBullet"/>
        <w:spacing w:after="80"/>
        <w:ind w:hanging="230"/>
      </w:pPr>
      <w:r>
        <w:rPr>
          <w:color w:val="333333"/>
        </w:rPr>
        <w:t>The policy will be administered by multiple HR teams, business units, suppliers, or payrolls.</w:t>
      </w:r>
    </w:p>
    <w:p w14:paraId="305C14CB" w14:textId="77777777" w:rsidR="00F5037E" w:rsidRDefault="00752F86">
      <w:pPr>
        <w:pStyle w:val="ListBullet"/>
        <w:spacing w:after="80"/>
        <w:ind w:hanging="230"/>
      </w:pPr>
      <w:r>
        <w:rPr>
          <w:color w:val="333333"/>
        </w:rPr>
        <w:t>Senior leaders need reliable cost estimates, trade-off analysis, or a defensible explanation of why the chosen approach differs from market practice.</w:t>
      </w:r>
    </w:p>
    <w:p w14:paraId="579671C2" w14:textId="77777777" w:rsidR="00F5037E" w:rsidRDefault="00752F86">
      <w:pPr>
        <w:pStyle w:val="Heading1"/>
        <w:spacing w:before="240" w:after="80"/>
      </w:pPr>
      <w:r>
        <w:rPr>
          <w:rFonts w:ascii="Arial" w:hAnsi="Arial"/>
        </w:rPr>
        <w:t>7. A Policy Is Not a Program</w:t>
      </w:r>
    </w:p>
    <w:p w14:paraId="4197114B" w14:textId="77777777" w:rsidR="00F5037E" w:rsidRDefault="00752F86">
      <w:pPr>
        <w:keepNext/>
        <w:spacing w:after="200"/>
      </w:pPr>
      <w:r>
        <w:rPr>
          <w:i/>
          <w:color w:val="4472C4"/>
        </w:rPr>
        <w:t>The document matters, but the employee experiences the operating model.</w:t>
      </w:r>
    </w:p>
    <w:p w14:paraId="5B7F40B6" w14:textId="77777777" w:rsidR="00F5037E" w:rsidRDefault="00752F86">
      <w:pPr>
        <w:spacing w:after="140"/>
      </w:pPr>
      <w:r>
        <w:rPr>
          <w:color w:val="333333"/>
        </w:rPr>
        <w:t>A policy can be well designed and still fail in delivery. Employees do not experience the document in isolation. They experience approvals, communications, suppliers, payroll, reimbursements, technology, handoffs, and exceptions. The operating model must therefore be designed alongside the policy.</w:t>
      </w:r>
    </w:p>
    <w:p w14:paraId="3BE2777C" w14:textId="77777777" w:rsidR="00F5037E" w:rsidRDefault="00752F86">
      <w:pPr>
        <w:pStyle w:val="Heading2"/>
        <w:spacing w:before="160" w:after="80"/>
      </w:pPr>
      <w:r>
        <w:rPr>
          <w:rFonts w:ascii="Arial" w:hAnsi="Arial"/>
        </w:rPr>
        <w:t>Governance and decision rights</w:t>
      </w:r>
    </w:p>
    <w:p w14:paraId="7A0EA310" w14:textId="77777777" w:rsidR="00F5037E" w:rsidRDefault="00752F86">
      <w:pPr>
        <w:spacing w:after="140"/>
      </w:pPr>
      <w:r>
        <w:rPr>
          <w:color w:val="333333"/>
        </w:rPr>
        <w:t>The organization should identify who owns the policy, who approves moves, who authorizes exceptions, who accepts compliance risk, and who pays. Without clear decision rights, similar cases drift toward different outcomes and the policy becomes a starting point for negotiation rather than a governing framework.</w:t>
      </w:r>
    </w:p>
    <w:p w14:paraId="1E92A6E8" w14:textId="77777777" w:rsidR="00F5037E" w:rsidRDefault="00752F86">
      <w:pPr>
        <w:pStyle w:val="Heading2"/>
        <w:spacing w:before="160" w:after="80"/>
      </w:pPr>
      <w:r>
        <w:rPr>
          <w:rFonts w:ascii="Arial" w:hAnsi="Arial"/>
        </w:rPr>
        <w:t>Supply chain and partners</w:t>
      </w:r>
    </w:p>
    <w:p w14:paraId="7B19E320" w14:textId="77777777" w:rsidR="00F5037E" w:rsidRDefault="00752F86">
      <w:pPr>
        <w:spacing w:after="140"/>
      </w:pPr>
      <w:r>
        <w:rPr>
          <w:color w:val="333333"/>
        </w:rPr>
        <w:t>Mobility frequently depends on a diverse supplier network: household-goods movers, destination-service providers, tax advisers, immigration counsel, temporary housing providers, home-sale specialists, language trainers, and others. A provider capable of supporting home finding in Bangalore may not be equipped to provide the same service in Buenos Aires. A household-goods mover may not transport pets. Policy design must be matched to a realistic delivery network.</w:t>
      </w:r>
    </w:p>
    <w:p w14:paraId="2B2B4274" w14:textId="77777777" w:rsidR="00F5037E" w:rsidRDefault="00752F86">
      <w:pPr>
        <w:pStyle w:val="Heading2"/>
        <w:spacing w:before="160" w:after="80"/>
      </w:pPr>
      <w:r>
        <w:rPr>
          <w:rFonts w:ascii="Arial" w:hAnsi="Arial"/>
        </w:rPr>
        <w:t>Program and operational support</w:t>
      </w:r>
    </w:p>
    <w:p w14:paraId="35A1317C" w14:textId="77777777" w:rsidR="00F5037E" w:rsidRDefault="00752F86">
      <w:pPr>
        <w:spacing w:after="140"/>
      </w:pPr>
      <w:r>
        <w:rPr>
          <w:color w:val="333333"/>
        </w:rPr>
        <w:t>Organizations may administer mobility internally, outsource most activity to a relocation management company, or use a hybrid model. External providers can consolidate suppliers, create process discipline, and add expertise. They can also add cost, distance, and unnecessary layers between the organization and its employees. The appropriate model depends on volume, geography, internal capability, desired control, and the complexity of the policy.</w:t>
      </w:r>
    </w:p>
    <w:p w14:paraId="03F4379E" w14:textId="77777777" w:rsidR="00F5037E" w:rsidRDefault="00752F86">
      <w:pPr>
        <w:pStyle w:val="Heading2"/>
        <w:spacing w:before="160" w:after="80"/>
      </w:pPr>
      <w:r>
        <w:rPr>
          <w:rFonts w:ascii="Arial" w:hAnsi="Arial"/>
        </w:rPr>
        <w:t>Technology, data, and payroll</w:t>
      </w:r>
    </w:p>
    <w:p w14:paraId="4B066C82" w14:textId="77777777" w:rsidR="00F5037E" w:rsidRDefault="00752F86">
      <w:pPr>
        <w:spacing w:after="140"/>
      </w:pPr>
      <w:r>
        <w:rPr>
          <w:color w:val="333333"/>
        </w:rPr>
        <w:t>Technology may range from a structured spreadsheet and documented workflow to a dedicated mobility platform integrated with HRIS, payroll, finance, and suppliers. The question is not whether the organization has the most advanced tool. It is whether the chosen tools can secure data, initiate required reviews, support approvals, track commitments, pay benefits correctly, reconcile costs, and produce information leaders can use.</w:t>
      </w:r>
    </w:p>
    <w:p w14:paraId="507D9556" w14:textId="77777777" w:rsidR="00D467E4" w:rsidRDefault="00752F86">
      <w:pPr>
        <w:pStyle w:val="Heading2"/>
      </w:pPr>
      <w:r>
        <w:t>Employee and family readiness</w:t>
      </w:r>
    </w:p>
    <w:p w14:paraId="7CD6E379" w14:textId="77777777" w:rsidR="00D467E4" w:rsidRDefault="00752F86">
      <w:pPr>
        <w:keepLines/>
        <w:spacing w:after="140"/>
      </w:pPr>
      <w:r>
        <w:t>A well-designed package cannot compensate for a poorly selected or unprepared employee. Before approval, the organization should assess the employee’s qualifications, motivation, adaptability, understanding of the move, and relevant family circumstances. Employees and accompanying family members need a realistic view of the professional opportunity, personal disruption, destination conditions, and any limitations in support. Readiness should inform selection and preparation without becoming an intrusive or discriminatory inquiry.</w:t>
      </w:r>
    </w:p>
    <w:p w14:paraId="5AE193FD" w14:textId="77777777" w:rsidR="00F5037E" w:rsidRDefault="00752F86">
      <w:pPr>
        <w:pStyle w:val="Heading2"/>
        <w:spacing w:before="160" w:after="80"/>
      </w:pPr>
      <w:r>
        <w:rPr>
          <w:rFonts w:ascii="Arial" w:hAnsi="Arial"/>
        </w:rPr>
        <w:t>Communication and employee experience</w:t>
      </w:r>
    </w:p>
    <w:p w14:paraId="1AF734A4" w14:textId="77777777" w:rsidR="00F5037E" w:rsidRDefault="00752F86">
      <w:pPr>
        <w:spacing w:after="140"/>
      </w:pPr>
      <w:r>
        <w:rPr>
          <w:color w:val="333333"/>
        </w:rPr>
        <w:t>Employees need more than a policy attachment. They need to understand what applies, why decisions have been made, what actions they must take, which costs are their responsibility, whom to contact, and what happens when circumstances change. Managers also need guidance so that informal promises made during recruitment or selection do not conflict with the policy.</w:t>
      </w:r>
    </w:p>
    <w:p w14:paraId="18AB485B" w14:textId="77777777" w:rsidR="00F5037E" w:rsidRDefault="00752F86">
      <w:pPr>
        <w:pStyle w:val="Heading2"/>
        <w:spacing w:before="160" w:after="80"/>
      </w:pPr>
      <w:r>
        <w:rPr>
          <w:rFonts w:ascii="Arial" w:hAnsi="Arial"/>
        </w:rPr>
        <w:t>Exceptions and continuous improvement</w:t>
      </w:r>
    </w:p>
    <w:p w14:paraId="7E037730" w14:textId="77777777" w:rsidR="00F5037E" w:rsidRDefault="00752F86">
      <w:pPr>
        <w:spacing w:after="140"/>
      </w:pPr>
      <w:r>
        <w:rPr>
          <w:color w:val="333333"/>
        </w:rPr>
        <w:t>Exceptions are not always evidence of policy failure. They may reveal a genuinely unusual business need or geography. However, frequent exceptions usually indicate that eligibility, benefit design, manager communication, or policy architecture needs attention. Exceptions should be documented, approved at the right level, costed, and periodically reviewed for patterns.</w:t>
      </w:r>
    </w:p>
    <w:tbl>
      <w:tblPr>
        <w:tblW w:w="0" w:type="auto"/>
        <w:jc w:val="center"/>
        <w:tblLayout w:type="fixed"/>
        <w:tblLook w:val="04A0" w:firstRow="1" w:lastRow="0" w:firstColumn="1" w:lastColumn="0" w:noHBand="0" w:noVBand="1"/>
      </w:tblPr>
      <w:tblGrid>
        <w:gridCol w:w="9994"/>
      </w:tblGrid>
      <w:tr w:rsidR="00F5037E" w14:paraId="7ACE0867" w14:textId="77777777">
        <w:trPr>
          <w:cantSplit/>
          <w:jc w:val="center"/>
        </w:trPr>
        <w:tc>
          <w:tcPr>
            <w:tcW w:w="9994" w:type="dxa"/>
            <w:tcBorders>
              <w:top w:val="nil"/>
              <w:left w:val="single" w:sz="18" w:space="0" w:color="27A9D6"/>
              <w:bottom w:val="nil"/>
              <w:right w:val="nil"/>
            </w:tcBorders>
            <w:shd w:val="clear" w:color="auto" w:fill="EAF3FA"/>
            <w:tcMar>
              <w:top w:w="140" w:type="dxa"/>
              <w:left w:w="180" w:type="dxa"/>
              <w:bottom w:w="140" w:type="dxa"/>
              <w:right w:w="180" w:type="dxa"/>
            </w:tcMar>
          </w:tcPr>
          <w:p w14:paraId="66006C1D" w14:textId="77777777" w:rsidR="00F5037E" w:rsidRDefault="00752F86">
            <w:pPr>
              <w:spacing w:after="80"/>
            </w:pPr>
            <w:r>
              <w:rPr>
                <w:b/>
                <w:color w:val="1D2754"/>
              </w:rPr>
              <w:t>Operational test</w:t>
            </w:r>
          </w:p>
          <w:p w14:paraId="39408228" w14:textId="77777777" w:rsidR="00F5037E" w:rsidRDefault="00752F86">
            <w:pPr>
              <w:spacing w:after="0" w:line="259" w:lineRule="auto"/>
            </w:pPr>
            <w:r>
              <w:rPr>
                <w:color w:val="333333"/>
                <w:sz w:val="20"/>
              </w:rPr>
              <w:t>For every benefit or rule, ask: Who initiates it? Who approves it? Who delivers it? Who pays it? How is it tracked? What happens when the facts change?</w:t>
            </w:r>
          </w:p>
        </w:tc>
      </w:tr>
    </w:tbl>
    <w:p w14:paraId="4D254962" w14:textId="77777777" w:rsidR="00F5037E" w:rsidRDefault="00F5037E">
      <w:pPr>
        <w:spacing w:after="0"/>
      </w:pPr>
    </w:p>
    <w:p w14:paraId="2A7D1915" w14:textId="77777777" w:rsidR="00F5037E" w:rsidRDefault="00752F86">
      <w:pPr>
        <w:pStyle w:val="Heading1"/>
        <w:spacing w:before="240" w:after="80"/>
      </w:pPr>
      <w:r>
        <w:rPr>
          <w:rFonts w:ascii="Arial" w:hAnsi="Arial"/>
        </w:rPr>
        <w:t>8. A Practical Path from a Blank Page to a Working Policy</w:t>
      </w:r>
    </w:p>
    <w:p w14:paraId="1C38045C" w14:textId="77777777" w:rsidR="00F5037E" w:rsidRDefault="00752F86">
      <w:pPr>
        <w:keepNext/>
        <w:spacing w:after="200"/>
      </w:pPr>
      <w:r>
        <w:rPr>
          <w:i/>
          <w:color w:val="4472C4"/>
        </w:rPr>
        <w:t>The sequence matters more than the sophistication of the document.</w:t>
      </w:r>
    </w:p>
    <w:p w14:paraId="2C0C0D12" w14:textId="77777777" w:rsidR="00D467E4" w:rsidRDefault="00752F86">
      <w:r>
        <w:t>1. Assemble the decision team. Bring together the functions that will shape, fund, govern, and administer the policy. Depending on scope, this may include business leaders, corporate and regional HR leaders, Finance or the CFO organization, Compliance, Legal, Payroll, HR Operations, and Total Rewards. Procurement should join as the operating model develops because significant portions of the policy will often be delivered by third parties. Clarify who advises, who decides, who pays, and who ultimately owns the program.</w:t>
      </w:r>
    </w:p>
    <w:p w14:paraId="655E4899" w14:textId="77777777" w:rsidR="002A0484" w:rsidRDefault="00752F86">
      <w:pPr>
        <w:ind w:left="72"/>
        <w:rPr>
          <w:color w:val="333333"/>
        </w:rPr>
      </w:pPr>
      <w:r>
        <w:t xml:space="preserve">2. Define the purpose and scope. Clarify why the organization moves people, which populations and geographies are in scope, and which outcomes the policy should support and which it should not.  </w:t>
      </w:r>
    </w:p>
    <w:p w14:paraId="6D140659" w14:textId="77777777" w:rsidR="00F5037E" w:rsidRDefault="00752F86">
      <w:pPr>
        <w:ind w:left="72"/>
      </w:pPr>
      <w:r>
        <w:t>3. Map current and likely moves. Review recent cases, informal practices, negotiated arrangements, known problem areas, and expected future demand. Do not design only for the last move.</w:t>
      </w:r>
    </w:p>
    <w:p w14:paraId="34446C55" w14:textId="77777777" w:rsidR="00F5037E" w:rsidRDefault="00752F86">
      <w:pPr>
        <w:ind w:left="72"/>
      </w:pPr>
      <w:r>
        <w:t>4. Choose the policy architecture. Separate travel, short-term assignments, long-term assignments, permanent transfers, commuter arrangements, and remote work where the underlying facts require different treatment.</w:t>
      </w:r>
    </w:p>
    <w:p w14:paraId="3FFCD737" w14:textId="77777777" w:rsidR="00F5037E" w:rsidRDefault="00752F86">
      <w:pPr>
        <w:ind w:left="72"/>
      </w:pPr>
      <w:r>
        <w:t>5. Set the policy philosophy and financial boundaries. Decide the balance between company control and employee choice, direct services and allowances, standardized benefits and flexibility, and employee support and affordability.</w:t>
      </w:r>
    </w:p>
    <w:p w14:paraId="61D926C1" w14:textId="77777777" w:rsidR="00F5037E" w:rsidRDefault="00752F86">
      <w:pPr>
        <w:ind w:left="72"/>
      </w:pPr>
      <w:r>
        <w:t>6. Resolve technical and compliance questions. Identify mandatory tax, immigration, payroll, employment, compensation, home-sale, or other specialist reviews before finalizing provisions.</w:t>
      </w:r>
    </w:p>
    <w:p w14:paraId="62B0A8C8" w14:textId="77777777" w:rsidR="00F5037E" w:rsidRDefault="00752F86">
      <w:pPr>
        <w:ind w:left="72"/>
      </w:pPr>
      <w:r>
        <w:t>7. Draft and test the policy. Run realistic employee scenarios through the draft. Estimate costs. Test difficult cases, family situations, early termination, exceptions, and locations with limited supplier support.</w:t>
      </w:r>
    </w:p>
    <w:p w14:paraId="2E47E55C" w14:textId="77777777" w:rsidR="00F5037E" w:rsidRDefault="00752F86">
      <w:pPr>
        <w:ind w:left="72"/>
      </w:pPr>
      <w:r>
        <w:t>8. Design implementation and governance. Assign owners, approval rights, supplier roles, workflows, communications, technology, cost tracking, and measures of success.</w:t>
      </w:r>
    </w:p>
    <w:p w14:paraId="1736D90F" w14:textId="77777777" w:rsidR="00F5037E" w:rsidRDefault="00752F86">
      <w:pPr>
        <w:pageBreakBefore/>
        <w:ind w:left="72"/>
      </w:pPr>
      <w:r>
        <w:t>9. Launch, measure, and refine. Monitor actual experience, costs, exceptions, employee questions, and business outcomes. Revise the policy when evidence shows that the design is not producing the intended result.</w:t>
      </w:r>
    </w:p>
    <w:tbl>
      <w:tblPr>
        <w:tblW w:w="0" w:type="auto"/>
        <w:jc w:val="center"/>
        <w:tblLayout w:type="fixed"/>
        <w:tblLook w:val="04A0" w:firstRow="1" w:lastRow="0" w:firstColumn="1" w:lastColumn="0" w:noHBand="0" w:noVBand="1"/>
      </w:tblPr>
      <w:tblGrid>
        <w:gridCol w:w="9994"/>
      </w:tblGrid>
      <w:tr w:rsidR="00F5037E" w14:paraId="492E257B" w14:textId="77777777">
        <w:trPr>
          <w:cantSplit/>
          <w:jc w:val="center"/>
        </w:trPr>
        <w:tc>
          <w:tcPr>
            <w:tcW w:w="9994" w:type="dxa"/>
            <w:tcBorders>
              <w:top w:val="single" w:sz="8" w:space="0" w:color="27A9D6"/>
              <w:left w:val="nil"/>
              <w:bottom w:val="single" w:sz="8" w:space="0" w:color="27A9D6"/>
              <w:right w:val="nil"/>
            </w:tcBorders>
            <w:shd w:val="clear" w:color="auto" w:fill="F4F8FC"/>
            <w:tcMar>
              <w:top w:w="160" w:type="dxa"/>
              <w:left w:w="260" w:type="dxa"/>
              <w:bottom w:w="160" w:type="dxa"/>
              <w:right w:w="260" w:type="dxa"/>
            </w:tcMar>
          </w:tcPr>
          <w:p w14:paraId="2E31D7BC" w14:textId="77777777" w:rsidR="00F5037E" w:rsidRDefault="00752F86">
            <w:pPr>
              <w:spacing w:after="0"/>
              <w:jc w:val="center"/>
            </w:pPr>
            <w:r>
              <w:rPr>
                <w:b/>
                <w:color w:val="1D2754"/>
                <w:sz w:val="26"/>
              </w:rPr>
              <w:t>The goal is not a policy that looks like everyone else’s. It is a policy the organization can explain, afford, administer, and defend.</w:t>
            </w:r>
          </w:p>
        </w:tc>
      </w:tr>
    </w:tbl>
    <w:p w14:paraId="0A60C5E4" w14:textId="77777777" w:rsidR="00F5037E" w:rsidRDefault="00752F86">
      <w:pPr>
        <w:pStyle w:val="Heading2"/>
        <w:spacing w:before="160" w:after="80"/>
      </w:pPr>
      <w:r>
        <w:rPr>
          <w:rFonts w:ascii="Arial" w:hAnsi="Arial"/>
        </w:rPr>
        <w:t>Conclusion</w:t>
      </w:r>
    </w:p>
    <w:p w14:paraId="3D946603" w14:textId="77777777" w:rsidR="00F5037E" w:rsidRDefault="00752F86">
      <w:pPr>
        <w:spacing w:after="140"/>
      </w:pPr>
      <w:r>
        <w:rPr>
          <w:color w:val="333333"/>
        </w:rPr>
        <w:t>A template can help organize a mobility policy. Benchmark data can help leaders understand the market. Both are valuable. Neither replaces the decisions that make the policy work.</w:t>
      </w:r>
    </w:p>
    <w:p w14:paraId="011A650C" w14:textId="77777777" w:rsidR="00F5037E" w:rsidRDefault="00752F86">
      <w:pPr>
        <w:spacing w:after="140"/>
      </w:pPr>
      <w:r>
        <w:rPr>
          <w:color w:val="333333"/>
        </w:rPr>
        <w:t>Effective policies begin with the organization’s own facts: the talent strategy, the purpose of the moves, the employee populations, the geographies, the financial limits, and the operating capability. HR should retain ownership of those choices and use specialist advice where the consequences are difficult to evaluate. The goal is not simply a complete document, but a mobility program that supports the business and can be relied upon by the people asked to move.</w:t>
      </w:r>
    </w:p>
    <w:p w14:paraId="6CA33CAC" w14:textId="77777777" w:rsidR="00986767" w:rsidRDefault="00CA7D85">
      <w:pPr>
        <w:pStyle w:val="Heading2"/>
        <w:spacing w:before="260" w:after="80"/>
      </w:pPr>
      <w:r>
        <w:rPr>
          <w:rFonts w:ascii="Arial" w:hAnsi="Arial"/>
        </w:rPr>
        <w:t>A next step</w:t>
      </w:r>
    </w:p>
    <w:p w14:paraId="4D5B7EFB" w14:textId="77777777" w:rsidR="00986767" w:rsidRDefault="00CA7D85">
      <w:pPr>
        <w:spacing w:after="140"/>
      </w:pPr>
      <w:r>
        <w:rPr>
          <w:color w:val="333333"/>
        </w:rPr>
        <w:t>If you are working through these decisions and would like a second opinion — on the architecture, the cost assumptions, or the places where the consequences are difficult to see in advance — that conversation is usually short and worth having.</w:t>
      </w:r>
    </w:p>
    <w:p w14:paraId="4A234929" w14:textId="77777777" w:rsidR="00986767" w:rsidRDefault="00CA7D85">
      <w:pPr>
        <w:spacing w:after="160"/>
      </w:pPr>
      <w:r>
        <w:rPr>
          <w:color w:val="333333"/>
        </w:rPr>
        <w:t>Thirty minutes is often enough to establish which decisions are settled, which are not, and where a modest amount of specialist analysis will save considerably more than it costs. There is no charge and no obligation for that conversation.</w:t>
      </w:r>
    </w:p>
    <w:tbl>
      <w:tblPr>
        <w:tblW w:w="9994" w:type="dxa"/>
        <w:jc w:val="center"/>
        <w:tblLayout w:type="fixed"/>
        <w:tblLook w:val="04A0" w:firstRow="1" w:lastRow="0" w:firstColumn="1" w:lastColumn="0" w:noHBand="0" w:noVBand="1"/>
      </w:tblPr>
      <w:tblGrid>
        <w:gridCol w:w="9994"/>
      </w:tblGrid>
      <w:tr w:rsidR="00986767" w14:paraId="7AC6DD90" w14:textId="77777777">
        <w:trPr>
          <w:cantSplit/>
          <w:jc w:val="center"/>
        </w:trPr>
        <w:tc>
          <w:tcPr>
            <w:tcW w:w="9994" w:type="dxa"/>
            <w:tcBorders>
              <w:top w:val="single" w:sz="8" w:space="0" w:color="27A9D6"/>
              <w:left w:val="nil"/>
              <w:bottom w:val="single" w:sz="8" w:space="0" w:color="27A9D6"/>
              <w:right w:val="nil"/>
            </w:tcBorders>
            <w:shd w:val="clear" w:color="auto" w:fill="F4F8FC"/>
            <w:tcMar>
              <w:top w:w="200" w:type="dxa"/>
              <w:left w:w="260" w:type="dxa"/>
              <w:bottom w:w="200" w:type="dxa"/>
              <w:right w:w="260" w:type="dxa"/>
            </w:tcMar>
          </w:tcPr>
          <w:p w14:paraId="46BA8BE7" w14:textId="77777777" w:rsidR="00986767" w:rsidRDefault="00CA7D85">
            <w:pPr>
              <w:spacing w:after="60"/>
              <w:jc w:val="center"/>
            </w:pPr>
            <w:r>
              <w:rPr>
                <w:b/>
                <w:color w:val="1D2754"/>
                <w:sz w:val="24"/>
              </w:rPr>
              <w:t>Michael D. Ray — Global Mobility Adviser</w:t>
            </w:r>
          </w:p>
          <w:p w14:paraId="7D95E6DE" w14:textId="77777777" w:rsidR="00986767" w:rsidRDefault="00CA7D85">
            <w:pPr>
              <w:spacing w:after="0"/>
              <w:jc w:val="center"/>
            </w:pPr>
            <w:r>
              <w:rPr>
                <w:color w:val="333333"/>
                <w:sz w:val="20"/>
              </w:rPr>
              <w:t>Michael@globalmobilityadviser.com  │  +1 623 824-1704  │  globalmobilityadviser.com</w:t>
            </w:r>
          </w:p>
        </w:tc>
      </w:tr>
    </w:tbl>
    <w:p w14:paraId="3A2ED486" w14:textId="77777777" w:rsidR="00986767" w:rsidRDefault="00986767">
      <w:pPr>
        <w:spacing w:after="0"/>
      </w:pPr>
    </w:p>
    <w:p w14:paraId="319BF238" w14:textId="77777777" w:rsidR="00F5037E" w:rsidRDefault="00F5037E">
      <w:pPr>
        <w:sectPr w:rsidR="00F5037E">
          <w:headerReference w:type="default" r:id="rId10"/>
          <w:footerReference w:type="default" r:id="rId11"/>
          <w:pgSz w:w="12240" w:h="15840"/>
          <w:pgMar w:top="1037" w:right="1123" w:bottom="979" w:left="1123" w:header="403" w:footer="403" w:gutter="0"/>
          <w:cols w:space="720"/>
          <w:docGrid w:linePitch="360"/>
        </w:sectPr>
      </w:pPr>
    </w:p>
    <w:p w14:paraId="46A82A81" w14:textId="77777777" w:rsidR="00F5037E" w:rsidRDefault="00752F86">
      <w:pPr>
        <w:pStyle w:val="Heading1"/>
        <w:spacing w:after="40"/>
      </w:pPr>
      <w:r>
        <w:rPr>
          <w:rFonts w:ascii="Arial" w:hAnsi="Arial"/>
          <w:color w:val="27A9D6"/>
          <w:sz w:val="26"/>
        </w:rPr>
        <w:t>Appendix A</w:t>
      </w:r>
    </w:p>
    <w:p w14:paraId="3C7380BD" w14:textId="77777777" w:rsidR="00F5037E" w:rsidRDefault="00752F86">
      <w:pPr>
        <w:spacing w:after="160"/>
      </w:pPr>
      <w:r>
        <w:rPr>
          <w:b/>
          <w:color w:val="1D2754"/>
          <w:sz w:val="46"/>
        </w:rPr>
        <w:t>Policy and Benefit Reference Tables</w:t>
      </w:r>
    </w:p>
    <w:p w14:paraId="361E9F63" w14:textId="77777777" w:rsidR="00F5037E" w:rsidRDefault="00752F86">
      <w:pPr>
        <w:spacing w:after="140"/>
      </w:pPr>
      <w:r>
        <w:rPr>
          <w:color w:val="333333"/>
        </w:rPr>
        <w:t>The following tables preserve the reference value of the original paper while separating detailed definitions from the main argument. They are intended as a starting point for policy design, not as a complete market benchmark or a substitute for jurisdiction-specific tax, legal, immigration, payroll, or benefits advice.</w:t>
      </w:r>
    </w:p>
    <w:p w14:paraId="4FD572CE" w14:textId="77777777" w:rsidR="00F5037E" w:rsidRDefault="00752F86">
      <w:pPr>
        <w:pStyle w:val="Heading2"/>
        <w:spacing w:before="160" w:after="80"/>
      </w:pPr>
      <w:r>
        <w:rPr>
          <w:rFonts w:ascii="Arial" w:hAnsi="Arial"/>
        </w:rPr>
        <w:t>A.1 Mobility policy types and approaches</w:t>
      </w:r>
    </w:p>
    <w:p w14:paraId="4AA21A82" w14:textId="77777777" w:rsidR="00F5037E" w:rsidRDefault="00752F86">
      <w:r>
        <w:t>Typical periods are illustrative only and are not compliance thresholds. The underlying facts of the arrangement should determine the policy classification.</w:t>
      </w:r>
    </w:p>
    <w:tbl>
      <w:tblPr>
        <w:tblW w:w="9719" w:type="dxa"/>
        <w:jc w:val="center"/>
        <w:tblLayout w:type="fixed"/>
        <w:tblLook w:val="04A0" w:firstRow="1" w:lastRow="0" w:firstColumn="1" w:lastColumn="0" w:noHBand="0" w:noVBand="1"/>
      </w:tblPr>
      <w:tblGrid>
        <w:gridCol w:w="2044"/>
        <w:gridCol w:w="1440"/>
        <w:gridCol w:w="3096"/>
        <w:gridCol w:w="3139"/>
      </w:tblGrid>
      <w:tr w:rsidR="00F5037E" w14:paraId="31FB7E3C" w14:textId="77777777">
        <w:trPr>
          <w:cantSplit/>
          <w:tblHeader/>
          <w:jc w:val="center"/>
        </w:trPr>
        <w:tc>
          <w:tcPr>
            <w:tcW w:w="2044"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47DFC69E" w14:textId="77777777" w:rsidR="00F5037E" w:rsidRDefault="00752F86">
            <w:r>
              <w:rPr>
                <w:b/>
                <w:color w:val="FFFFFF"/>
                <w:sz w:val="15"/>
              </w:rPr>
              <w:t>Policy type</w:t>
            </w:r>
          </w:p>
        </w:tc>
        <w:tc>
          <w:tcPr>
            <w:tcW w:w="1440"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6ED3699F" w14:textId="77777777" w:rsidR="00F5037E" w:rsidRDefault="00752F86">
            <w:r>
              <w:rPr>
                <w:b/>
                <w:color w:val="FFFFFF"/>
                <w:sz w:val="15"/>
              </w:rPr>
              <w:t>Typical period</w:t>
            </w:r>
          </w:p>
        </w:tc>
        <w:tc>
          <w:tcPr>
            <w:tcW w:w="3096"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3F87EAE1" w14:textId="77777777" w:rsidR="00F5037E" w:rsidRDefault="00752F86">
            <w:r>
              <w:rPr>
                <w:b/>
                <w:color w:val="FFFFFF"/>
                <w:sz w:val="15"/>
              </w:rPr>
              <w:t>Core assumption / approach</w:t>
            </w:r>
          </w:p>
        </w:tc>
        <w:tc>
          <w:tcPr>
            <w:tcW w:w="3139"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5C4A85CA" w14:textId="77777777" w:rsidR="00F5037E" w:rsidRDefault="00752F86">
            <w:r>
              <w:rPr>
                <w:b/>
                <w:color w:val="FFFFFF"/>
                <w:sz w:val="15"/>
              </w:rPr>
              <w:t>Common policy components</w:t>
            </w:r>
          </w:p>
        </w:tc>
      </w:tr>
      <w:tr w:rsidR="00F5037E" w14:paraId="6BFD9547"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18269433" w14:textId="77777777" w:rsidR="00F5037E" w:rsidRPr="009200F8" w:rsidRDefault="00752F86">
            <w:pPr>
              <w:spacing w:after="0" w:line="240" w:lineRule="auto"/>
              <w:rPr>
                <w:sz w:val="17"/>
                <w:szCs w:val="17"/>
              </w:rPr>
            </w:pPr>
            <w:r>
              <w:rPr>
                <w:b/>
                <w:color w:val="333333"/>
                <w:sz w:val="17"/>
                <w:szCs w:val="17"/>
              </w:rPr>
              <w:t>Business travel</w:t>
            </w:r>
          </w:p>
        </w:tc>
        <w:tc>
          <w:tcPr>
            <w:tcW w:w="1440"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1B10182F" w14:textId="77777777" w:rsidR="00D467E4" w:rsidRPr="009200F8" w:rsidRDefault="00752F86">
            <w:pPr>
              <w:rPr>
                <w:sz w:val="17"/>
                <w:szCs w:val="17"/>
              </w:rPr>
            </w:pPr>
            <w:r>
              <w:rPr>
                <w:sz w:val="17"/>
                <w:szCs w:val="17"/>
              </w:rPr>
              <w:t>Often brief; no duration is automatically low risk</w:t>
            </w:r>
          </w:p>
        </w:tc>
        <w:tc>
          <w:tcPr>
            <w:tcW w:w="3096"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537C8AA1" w14:textId="77777777" w:rsidR="00D467E4" w:rsidRPr="009200F8" w:rsidRDefault="00752F86">
            <w:pPr>
              <w:rPr>
                <w:sz w:val="17"/>
                <w:szCs w:val="17"/>
              </w:rPr>
            </w:pPr>
            <w:r>
              <w:rPr>
                <w:sz w:val="17"/>
                <w:szCs w:val="17"/>
              </w:rPr>
              <w:t>The employee remains based in the home location and travels temporarily. Activity type, authority exercised, travel pattern, and applicable law - not a day-count threshold - determine risk.</w:t>
            </w:r>
          </w:p>
        </w:tc>
        <w:tc>
          <w:tcPr>
            <w:tcW w:w="313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BDF2E3C" w14:textId="77777777" w:rsidR="00D467E4" w:rsidRPr="009200F8" w:rsidRDefault="00752F86">
            <w:pPr>
              <w:rPr>
                <w:sz w:val="17"/>
                <w:szCs w:val="17"/>
              </w:rPr>
            </w:pPr>
            <w:r>
              <w:rPr>
                <w:sz w:val="17"/>
                <w:szCs w:val="17"/>
              </w:rPr>
              <w:t>Expenses or per diem; travel booking; work-time reporting where required; tax, immigration, payroll, employment, and corporate-risk review based on the actual activities and jurisdictions involved.</w:t>
            </w:r>
          </w:p>
        </w:tc>
      </w:tr>
      <w:tr w:rsidR="00F5037E" w14:paraId="03D802D5"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A54AAC4" w14:textId="77777777" w:rsidR="00F5037E" w:rsidRDefault="00752F86">
            <w:pPr>
              <w:spacing w:after="0" w:line="240" w:lineRule="auto"/>
            </w:pPr>
            <w:r>
              <w:rPr>
                <w:b/>
                <w:color w:val="333333"/>
                <w:sz w:val="15"/>
              </w:rPr>
              <w:t>Extended business travel</w:t>
            </w:r>
          </w:p>
        </w:tc>
        <w:tc>
          <w:tcPr>
            <w:tcW w:w="1440"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D2829A6" w14:textId="77777777" w:rsidR="00F5037E" w:rsidRDefault="00752F86">
            <w:pPr>
              <w:spacing w:after="0" w:line="240" w:lineRule="auto"/>
            </w:pPr>
            <w:r>
              <w:rPr>
                <w:color w:val="333333"/>
                <w:sz w:val="15"/>
              </w:rPr>
              <w:t>Approximately 2 weeks to 6 months</w:t>
            </w:r>
          </w:p>
        </w:tc>
        <w:tc>
          <w:tcPr>
            <w:tcW w:w="3096"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8D2964E" w14:textId="77777777" w:rsidR="00F5037E" w:rsidRDefault="00752F86">
            <w:pPr>
              <w:spacing w:after="0" w:line="240" w:lineRule="auto"/>
            </w:pPr>
            <w:r>
              <w:rPr>
                <w:color w:val="333333"/>
                <w:sz w:val="15"/>
              </w:rPr>
              <w:t>The employee retains the home base but remains in the host location long enough that ordinary travel treatment may become inefficient or noncompliant.</w:t>
            </w:r>
          </w:p>
        </w:tc>
        <w:tc>
          <w:tcPr>
            <w:tcW w:w="313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1DCEF60" w14:textId="77777777" w:rsidR="00F5037E" w:rsidRDefault="00752F86">
            <w:pPr>
              <w:spacing w:after="0" w:line="240" w:lineRule="auto"/>
            </w:pPr>
            <w:r>
              <w:rPr>
                <w:color w:val="333333"/>
                <w:sz w:val="15"/>
              </w:rPr>
              <w:t>Extended-stay accommodation; expenses or reduced per diem; periodic home travel where appropriate; immigration, tax, payroll, and working-time review.</w:t>
            </w:r>
          </w:p>
        </w:tc>
      </w:tr>
      <w:tr w:rsidR="00F5037E" w14:paraId="1899F184"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10F14766" w14:textId="77777777" w:rsidR="00F5037E" w:rsidRDefault="00752F86">
            <w:pPr>
              <w:spacing w:after="0" w:line="240" w:lineRule="auto"/>
            </w:pPr>
            <w:r>
              <w:rPr>
                <w:b/>
                <w:color w:val="333333"/>
                <w:sz w:val="15"/>
              </w:rPr>
              <w:t>Short-term assignment</w:t>
            </w:r>
          </w:p>
        </w:tc>
        <w:tc>
          <w:tcPr>
            <w:tcW w:w="1440"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134CD95E" w14:textId="77777777" w:rsidR="00F5037E" w:rsidRDefault="00752F86">
            <w:pPr>
              <w:spacing w:after="0" w:line="240" w:lineRule="auto"/>
            </w:pPr>
            <w:r>
              <w:rPr>
                <w:color w:val="333333"/>
                <w:sz w:val="15"/>
              </w:rPr>
              <w:t>Approximately 3 months to 1 year</w:t>
            </w:r>
          </w:p>
        </w:tc>
        <w:tc>
          <w:tcPr>
            <w:tcW w:w="3096"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063B9F4D" w14:textId="77777777" w:rsidR="00F5037E" w:rsidRDefault="00752F86">
            <w:pPr>
              <w:spacing w:after="0" w:line="240" w:lineRule="auto"/>
            </w:pPr>
            <w:r>
              <w:rPr>
                <w:color w:val="333333"/>
                <w:sz w:val="15"/>
              </w:rPr>
              <w:t>The move is temporary, substantial home ties are retained, and the employee is expected to return. Host living is usually supported.</w:t>
            </w:r>
          </w:p>
        </w:tc>
        <w:tc>
          <w:tcPr>
            <w:tcW w:w="313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85B10A2" w14:textId="77777777" w:rsidR="00F5037E" w:rsidRDefault="00752F86">
            <w:pPr>
              <w:spacing w:after="0" w:line="240" w:lineRule="auto"/>
            </w:pPr>
            <w:r>
              <w:rPr>
                <w:color w:val="333333"/>
                <w:sz w:val="15"/>
              </w:rPr>
              <w:t>Furnished housing; travel to and from the assignment; reduced per diem or living allowance; limited home travel; tax and immigration support; payroll coordination.</w:t>
            </w:r>
          </w:p>
        </w:tc>
      </w:tr>
      <w:tr w:rsidR="00F5037E" w14:paraId="5654A4D6"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4D3268C" w14:textId="77777777" w:rsidR="00F5037E" w:rsidRDefault="00752F86">
            <w:pPr>
              <w:spacing w:after="0" w:line="240" w:lineRule="auto"/>
            </w:pPr>
            <w:r>
              <w:rPr>
                <w:b/>
                <w:color w:val="333333"/>
                <w:sz w:val="15"/>
              </w:rPr>
              <w:t>Long-term international assignment - home-based / traditional expatriate</w:t>
            </w:r>
          </w:p>
        </w:tc>
        <w:tc>
          <w:tcPr>
            <w:tcW w:w="1440"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37AC1A6" w14:textId="77777777" w:rsidR="00F5037E" w:rsidRDefault="00752F86">
            <w:pPr>
              <w:spacing w:after="0" w:line="240" w:lineRule="auto"/>
            </w:pPr>
            <w:r>
              <w:rPr>
                <w:color w:val="333333"/>
                <w:sz w:val="15"/>
              </w:rPr>
              <w:t>Often 1-5 years</w:t>
            </w:r>
          </w:p>
        </w:tc>
        <w:tc>
          <w:tcPr>
            <w:tcW w:w="3096"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763A949" w14:textId="77777777" w:rsidR="00F5037E" w:rsidRDefault="00752F86">
            <w:pPr>
              <w:spacing w:after="0" w:line="240" w:lineRule="auto"/>
            </w:pPr>
            <w:r>
              <w:rPr>
                <w:color w:val="333333"/>
                <w:sz w:val="15"/>
              </w:rPr>
              <w:t>Compensation and benefits remain anchored to the home location. The organization may seek to equalize or protect the employee from defined assignment-related differences.</w:t>
            </w:r>
          </w:p>
        </w:tc>
        <w:tc>
          <w:tcPr>
            <w:tcW w:w="313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5624742" w14:textId="77777777" w:rsidR="00F5037E" w:rsidRDefault="00752F86">
            <w:pPr>
              <w:spacing w:after="0" w:line="240" w:lineRule="auto"/>
            </w:pPr>
            <w:r>
              <w:rPr>
                <w:color w:val="333333"/>
                <w:sz w:val="15"/>
              </w:rPr>
              <w:t>Home-based salary; tax equalization or protection; housing, cost-of-living, transportation, hardship, and other allowances as applicable; relocation, family, language, intercultural, tax, and immigration support; home, host, or split payroll.</w:t>
            </w:r>
          </w:p>
        </w:tc>
      </w:tr>
      <w:tr w:rsidR="00F5037E" w14:paraId="392CB0DF"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08449B4F" w14:textId="77777777" w:rsidR="00F5037E" w:rsidRDefault="00752F86">
            <w:pPr>
              <w:spacing w:after="0" w:line="240" w:lineRule="auto"/>
            </w:pPr>
            <w:r>
              <w:rPr>
                <w:b/>
                <w:color w:val="333333"/>
                <w:sz w:val="15"/>
              </w:rPr>
              <w:t>Long-term international assignment - host-based</w:t>
            </w:r>
          </w:p>
        </w:tc>
        <w:tc>
          <w:tcPr>
            <w:tcW w:w="1440"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4B06D8F3" w14:textId="77777777" w:rsidR="00F5037E" w:rsidRDefault="00752F86">
            <w:pPr>
              <w:spacing w:after="0" w:line="240" w:lineRule="auto"/>
            </w:pPr>
            <w:r>
              <w:rPr>
                <w:color w:val="333333"/>
                <w:sz w:val="15"/>
              </w:rPr>
              <w:t>Often 1-5 years</w:t>
            </w:r>
          </w:p>
        </w:tc>
        <w:tc>
          <w:tcPr>
            <w:tcW w:w="3096"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0BDC568" w14:textId="77777777" w:rsidR="00F5037E" w:rsidRDefault="00752F86">
            <w:pPr>
              <w:spacing w:after="0" w:line="240" w:lineRule="auto"/>
            </w:pPr>
            <w:r>
              <w:rPr>
                <w:color w:val="333333"/>
                <w:sz w:val="15"/>
              </w:rPr>
              <w:t>Compensation and benefits are primarily tied to the host location, with selected accommodations for the employee’s cross-border circumstances.</w:t>
            </w:r>
          </w:p>
        </w:tc>
        <w:tc>
          <w:tcPr>
            <w:tcW w:w="313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B4B0C88" w14:textId="77777777" w:rsidR="00F5037E" w:rsidRDefault="00752F86">
            <w:pPr>
              <w:spacing w:after="0" w:line="240" w:lineRule="auto"/>
            </w:pPr>
            <w:r>
              <w:rPr>
                <w:color w:val="333333"/>
                <w:sz w:val="15"/>
              </w:rPr>
              <w:t>Host payroll and rewards; relocation assistance; tax and immigration support; possible transition, housing, family, language, or intercultural support; targeted treatment of continuing home-country obligations.</w:t>
            </w:r>
          </w:p>
        </w:tc>
      </w:tr>
      <w:tr w:rsidR="00F5037E" w14:paraId="193893FD"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28A3168" w14:textId="77777777" w:rsidR="00F5037E" w:rsidRDefault="00752F86">
            <w:pPr>
              <w:spacing w:after="0" w:line="240" w:lineRule="auto"/>
            </w:pPr>
            <w:r>
              <w:rPr>
                <w:b/>
                <w:color w:val="333333"/>
                <w:sz w:val="15"/>
              </w:rPr>
              <w:t>Long-term international assignment - hybrid / global / regional</w:t>
            </w:r>
          </w:p>
        </w:tc>
        <w:tc>
          <w:tcPr>
            <w:tcW w:w="1440"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A9626D2" w14:textId="77777777" w:rsidR="00F5037E" w:rsidRDefault="00752F86">
            <w:pPr>
              <w:spacing w:after="0" w:line="240" w:lineRule="auto"/>
            </w:pPr>
            <w:r>
              <w:rPr>
                <w:color w:val="333333"/>
                <w:sz w:val="15"/>
              </w:rPr>
              <w:t>Often 1-5 years</w:t>
            </w:r>
          </w:p>
        </w:tc>
        <w:tc>
          <w:tcPr>
            <w:tcW w:w="3096"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D5BF712" w14:textId="77777777" w:rsidR="00F5037E" w:rsidRDefault="00752F86">
            <w:pPr>
              <w:spacing w:after="0" w:line="240" w:lineRule="auto"/>
            </w:pPr>
            <w:r>
              <w:rPr>
                <w:color w:val="333333"/>
                <w:sz w:val="15"/>
              </w:rPr>
              <w:t>Compensation may be host-based, regional, or global, with selected allowances or protections recognizing continuing home ties and additional assignment costs.</w:t>
            </w:r>
          </w:p>
        </w:tc>
        <w:tc>
          <w:tcPr>
            <w:tcW w:w="313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C224187" w14:textId="77777777" w:rsidR="00F5037E" w:rsidRDefault="00752F86">
            <w:pPr>
              <w:spacing w:after="0" w:line="240" w:lineRule="auto"/>
            </w:pPr>
            <w:r>
              <w:rPr>
                <w:color w:val="333333"/>
                <w:sz w:val="15"/>
              </w:rPr>
              <w:t>Selected housing, transportation, cost-of-living, tax, home-travel, family, and relocation support; no commitment to keep the employee completely whole; home, host, or split payroll depending on design.</w:t>
            </w:r>
          </w:p>
        </w:tc>
      </w:tr>
      <w:tr w:rsidR="00F5037E" w14:paraId="4BB45390"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2A921060" w14:textId="77777777" w:rsidR="00F5037E" w:rsidRDefault="00752F86">
            <w:pPr>
              <w:spacing w:after="0" w:line="240" w:lineRule="auto"/>
            </w:pPr>
            <w:r>
              <w:rPr>
                <w:b/>
                <w:color w:val="333333"/>
                <w:sz w:val="15"/>
              </w:rPr>
              <w:t>Permanent (Indefinite) transfer - within a country</w:t>
            </w:r>
          </w:p>
        </w:tc>
        <w:tc>
          <w:tcPr>
            <w:tcW w:w="1440"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408B06F2" w14:textId="77777777" w:rsidR="00F5037E" w:rsidRDefault="00752F86">
            <w:pPr>
              <w:spacing w:after="0" w:line="240" w:lineRule="auto"/>
            </w:pPr>
            <w:r>
              <w:rPr>
                <w:color w:val="333333"/>
                <w:sz w:val="15"/>
              </w:rPr>
              <w:t>No planned return</w:t>
            </w:r>
          </w:p>
        </w:tc>
        <w:tc>
          <w:tcPr>
            <w:tcW w:w="3096"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096441D" w14:textId="77777777" w:rsidR="00F5037E" w:rsidRDefault="00752F86">
            <w:pPr>
              <w:spacing w:after="0" w:line="240" w:lineRule="auto"/>
            </w:pPr>
            <w:r>
              <w:rPr>
                <w:color w:val="333333"/>
                <w:sz w:val="15"/>
              </w:rPr>
              <w:t>The employee relocates permanently and moves to the receiving location’s employment terms. The company provides a defined level of relocation support.</w:t>
            </w:r>
          </w:p>
        </w:tc>
        <w:tc>
          <w:tcPr>
            <w:tcW w:w="313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0FBFC9FB" w14:textId="77777777" w:rsidR="00F5037E" w:rsidRDefault="00752F86">
            <w:pPr>
              <w:spacing w:after="0" w:line="240" w:lineRule="auto"/>
            </w:pPr>
            <w:r>
              <w:rPr>
                <w:color w:val="333333"/>
                <w:sz w:val="15"/>
              </w:rPr>
              <w:t>Cash allowance or direct services; home sale, lease break, home purchase or rental assistance; home finding; household-goods shipment; temporary living; final travel; family support; tax treatment of relocation benefits.</w:t>
            </w:r>
          </w:p>
        </w:tc>
      </w:tr>
      <w:tr w:rsidR="00F5037E" w14:paraId="18E60D16"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FF689B0" w14:textId="77777777" w:rsidR="00F5037E" w:rsidRDefault="00752F86">
            <w:pPr>
              <w:spacing w:after="0" w:line="240" w:lineRule="auto"/>
            </w:pPr>
            <w:r>
              <w:rPr>
                <w:b/>
                <w:color w:val="333333"/>
                <w:sz w:val="15"/>
              </w:rPr>
              <w:t>Permanent (Indefinite) transfer - international</w:t>
            </w:r>
          </w:p>
        </w:tc>
        <w:tc>
          <w:tcPr>
            <w:tcW w:w="1440"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00CFEA1" w14:textId="77777777" w:rsidR="00F5037E" w:rsidRDefault="00752F86">
            <w:pPr>
              <w:spacing w:after="0" w:line="240" w:lineRule="auto"/>
            </w:pPr>
            <w:r>
              <w:rPr>
                <w:color w:val="333333"/>
                <w:sz w:val="15"/>
              </w:rPr>
              <w:t>No planned return to the home country</w:t>
            </w:r>
          </w:p>
        </w:tc>
        <w:tc>
          <w:tcPr>
            <w:tcW w:w="3096"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D912A39" w14:textId="77777777" w:rsidR="00F5037E" w:rsidRDefault="00752F86">
            <w:pPr>
              <w:spacing w:after="0" w:line="240" w:lineRule="auto"/>
            </w:pPr>
            <w:r>
              <w:rPr>
                <w:color w:val="333333"/>
                <w:sz w:val="15"/>
              </w:rPr>
              <w:t>The employee transfers to sustainable host, regional, or global compensation and benefits. Cross-border transition and compliance support remain necessary.</w:t>
            </w:r>
          </w:p>
        </w:tc>
        <w:tc>
          <w:tcPr>
            <w:tcW w:w="313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50DAE57" w14:textId="77777777" w:rsidR="00F5037E" w:rsidRDefault="00752F86">
            <w:pPr>
              <w:spacing w:after="0" w:line="240" w:lineRule="auto"/>
            </w:pPr>
            <w:r>
              <w:rPr>
                <w:color w:val="333333"/>
                <w:sz w:val="15"/>
              </w:rPr>
              <w:t>Relocation assistance; host compensation and benefits; net-to-net or other comparison where helpful; tax and immigration consultation; home sale or rental support; household goods; temporary living; family transition.</w:t>
            </w:r>
          </w:p>
        </w:tc>
      </w:tr>
      <w:tr w:rsidR="00F5037E" w14:paraId="78A41BFA"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4C90B16D" w14:textId="77777777" w:rsidR="00F5037E" w:rsidRDefault="00752F86">
            <w:pPr>
              <w:spacing w:after="0" w:line="240" w:lineRule="auto"/>
            </w:pPr>
            <w:r>
              <w:rPr>
                <w:b/>
                <w:color w:val="333333"/>
                <w:sz w:val="15"/>
              </w:rPr>
              <w:t>Commuter arrangement</w:t>
            </w:r>
          </w:p>
        </w:tc>
        <w:tc>
          <w:tcPr>
            <w:tcW w:w="1440"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5F3716C" w14:textId="77777777" w:rsidR="00F5037E" w:rsidRDefault="00752F86">
            <w:pPr>
              <w:spacing w:after="0" w:line="240" w:lineRule="auto"/>
            </w:pPr>
            <w:r>
              <w:rPr>
                <w:color w:val="333333"/>
                <w:sz w:val="15"/>
              </w:rPr>
              <w:t>Temporary or ongoing</w:t>
            </w:r>
          </w:p>
        </w:tc>
        <w:tc>
          <w:tcPr>
            <w:tcW w:w="3096"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4753195F" w14:textId="77777777" w:rsidR="00F5037E" w:rsidRDefault="00752F86">
            <w:pPr>
              <w:spacing w:after="0" w:line="240" w:lineRule="auto"/>
            </w:pPr>
            <w:r>
              <w:rPr>
                <w:color w:val="333333"/>
                <w:sz w:val="15"/>
              </w:rPr>
              <w:t>The employee maintains a primary residence in the origin location and travels repeatedly to the host location for days or weeks at a time.</w:t>
            </w:r>
          </w:p>
        </w:tc>
        <w:tc>
          <w:tcPr>
            <w:tcW w:w="3139"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5A0122E2" w14:textId="77777777" w:rsidR="00F5037E" w:rsidRDefault="00752F86">
            <w:pPr>
              <w:spacing w:after="0" w:line="240" w:lineRule="auto"/>
            </w:pPr>
            <w:r>
              <w:rPr>
                <w:color w:val="333333"/>
                <w:sz w:val="15"/>
              </w:rPr>
              <w:t>Commute costs; host accommodation; local transportation; tax filing or consultation; immigration review; dual-residency parameters; schedule and fatigue management.</w:t>
            </w:r>
          </w:p>
        </w:tc>
      </w:tr>
      <w:tr w:rsidR="00F5037E" w14:paraId="52C29E15" w14:textId="77777777">
        <w:trPr>
          <w:cantSplit/>
          <w:jc w:val="center"/>
        </w:trPr>
        <w:tc>
          <w:tcPr>
            <w:tcW w:w="2044"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4AD24AE5" w14:textId="77777777" w:rsidR="00F5037E" w:rsidRDefault="00752F86">
            <w:pPr>
              <w:spacing w:after="0" w:line="240" w:lineRule="auto"/>
            </w:pPr>
            <w:r>
              <w:rPr>
                <w:b/>
                <w:color w:val="333333"/>
                <w:sz w:val="15"/>
              </w:rPr>
              <w:t>Remote or cross-border work</w:t>
            </w:r>
          </w:p>
        </w:tc>
        <w:tc>
          <w:tcPr>
            <w:tcW w:w="1440"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08FFD73" w14:textId="77777777" w:rsidR="00F5037E" w:rsidRDefault="00752F86">
            <w:pPr>
              <w:spacing w:after="0" w:line="240" w:lineRule="auto"/>
            </w:pPr>
            <w:r>
              <w:rPr>
                <w:color w:val="333333"/>
                <w:sz w:val="15"/>
              </w:rPr>
              <w:t>Temporary or ongoing</w:t>
            </w:r>
          </w:p>
        </w:tc>
        <w:tc>
          <w:tcPr>
            <w:tcW w:w="3096"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EFAD87B" w14:textId="77777777" w:rsidR="00F5037E" w:rsidRDefault="00752F86">
            <w:pPr>
              <w:spacing w:after="0" w:line="240" w:lineRule="auto"/>
            </w:pPr>
            <w:r>
              <w:rPr>
                <w:color w:val="333333"/>
                <w:sz w:val="15"/>
              </w:rPr>
              <w:t>The employee works from a location other than the designated work location, often by personal choice. The principal objective is risk assessment and compliant employment.</w:t>
            </w:r>
          </w:p>
        </w:tc>
        <w:tc>
          <w:tcPr>
            <w:tcW w:w="3139"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84FA6E5" w14:textId="77777777" w:rsidR="00F5037E" w:rsidRDefault="00752F86">
            <w:pPr>
              <w:spacing w:after="0" w:line="240" w:lineRule="auto"/>
            </w:pPr>
            <w:r>
              <w:rPr>
                <w:color w:val="333333"/>
                <w:sz w:val="15"/>
              </w:rPr>
              <w:t>Formal location assessment; tax, immigration, payroll, employment, corporate-tax, and benefits review; possible compensation or benefit adjustment; usually limited relocation support when the arrangement is employee-initiated.</w:t>
            </w:r>
          </w:p>
        </w:tc>
      </w:tr>
    </w:tbl>
    <w:p w14:paraId="0F376998" w14:textId="77777777" w:rsidR="00F5037E" w:rsidRDefault="00752F86">
      <w:pPr>
        <w:pStyle w:val="Heading2"/>
        <w:spacing w:before="160" w:after="80"/>
      </w:pPr>
      <w:r>
        <w:rPr>
          <w:rFonts w:ascii="Arial" w:hAnsi="Arial"/>
        </w:rPr>
        <w:t>A.2 Relocation and assignment benefit definitions</w:t>
      </w:r>
    </w:p>
    <w:p w14:paraId="5BDA9727" w14:textId="77777777" w:rsidR="00F5037E" w:rsidRDefault="00752F86">
      <w:r>
        <w:rPr>
          <w:i/>
          <w:color w:val="666666"/>
          <w:sz w:val="17"/>
        </w:rPr>
        <w:t>Not every benefit applies to every policy, employee, family, or location. Each selected benefit also requires decisions about eligibility, limits, delivery, documentation, tax treatment, timing, supplier use, and exceptions.</w:t>
      </w:r>
    </w:p>
    <w:tbl>
      <w:tblPr>
        <w:tblW w:w="9719" w:type="dxa"/>
        <w:tblLayout w:type="fixed"/>
        <w:tblLook w:val="04A0" w:firstRow="1" w:lastRow="0" w:firstColumn="1" w:lastColumn="0" w:noHBand="0" w:noVBand="1"/>
      </w:tblPr>
      <w:tblGrid>
        <w:gridCol w:w="2952"/>
        <w:gridCol w:w="6767"/>
      </w:tblGrid>
      <w:tr w:rsidR="00F5037E" w14:paraId="60D53218" w14:textId="77777777">
        <w:trPr>
          <w:cantSplit/>
        </w:trPr>
        <w:tc>
          <w:tcPr>
            <w:tcW w:w="9720" w:type="dxa"/>
            <w:gridSpan w:val="2"/>
            <w:tcBorders>
              <w:top w:val="single" w:sz="4" w:space="0" w:color="B7C3D0"/>
              <w:left w:val="single" w:sz="4" w:space="0" w:color="B7C3D0"/>
              <w:bottom w:val="single" w:sz="4" w:space="0" w:color="B7C3D0"/>
              <w:right w:val="single" w:sz="4" w:space="0" w:color="B7C3D0"/>
            </w:tcBorders>
            <w:shd w:val="clear" w:color="auto" w:fill="1D2754"/>
            <w:tcMar>
              <w:top w:w="65" w:type="dxa"/>
              <w:left w:w="80" w:type="dxa"/>
              <w:bottom w:w="65" w:type="dxa"/>
              <w:right w:w="80" w:type="dxa"/>
            </w:tcMar>
          </w:tcPr>
          <w:p w14:paraId="6BE59014" w14:textId="77777777" w:rsidR="00F5037E" w:rsidRDefault="00752F86">
            <w:pPr>
              <w:jc w:val="center"/>
            </w:pPr>
            <w:r>
              <w:rPr>
                <w:b/>
                <w:color w:val="FFFFFF"/>
                <w:sz w:val="16"/>
              </w:rPr>
              <w:t>LOGISTICAL BENEFITS</w:t>
            </w:r>
          </w:p>
        </w:tc>
      </w:tr>
      <w:tr w:rsidR="00F5037E" w14:paraId="61C12380"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DEFB309" w14:textId="77777777" w:rsidR="00F5037E" w:rsidRDefault="00752F86">
            <w:pPr>
              <w:spacing w:after="0" w:line="240" w:lineRule="auto"/>
            </w:pPr>
            <w:r>
              <w:rPr>
                <w:b/>
                <w:color w:val="333333"/>
                <w:sz w:val="16"/>
              </w:rPr>
              <w:t>Household-goods moving</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1FB444D3" w14:textId="77777777" w:rsidR="00F5037E" w:rsidRDefault="00752F86">
            <w:pPr>
              <w:spacing w:after="0" w:line="240" w:lineRule="auto"/>
            </w:pPr>
            <w:r>
              <w:rPr>
                <w:color w:val="333333"/>
                <w:sz w:val="16"/>
              </w:rPr>
              <w:t>Packing, loading, transporting, and delivering personal furniture and household goods.</w:t>
            </w:r>
          </w:p>
        </w:tc>
      </w:tr>
      <w:tr w:rsidR="00F5037E" w14:paraId="31C9F1BB"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497BBEF7" w14:textId="77777777" w:rsidR="00F5037E" w:rsidRDefault="00752F86">
            <w:pPr>
              <w:spacing w:after="0" w:line="240" w:lineRule="auto"/>
            </w:pPr>
            <w:r>
              <w:rPr>
                <w:b/>
                <w:color w:val="333333"/>
                <w:sz w:val="16"/>
              </w:rPr>
              <w:t>Storage</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2B59DEED" w14:textId="77777777" w:rsidR="00F5037E" w:rsidRDefault="00752F86">
            <w:pPr>
              <w:spacing w:after="0" w:line="240" w:lineRule="auto"/>
            </w:pPr>
            <w:r>
              <w:rPr>
                <w:color w:val="333333"/>
                <w:sz w:val="16"/>
              </w:rPr>
              <w:t>Temporary or long-term storage of household goods when the employee cannot immediately receive or use them.</w:t>
            </w:r>
          </w:p>
        </w:tc>
      </w:tr>
      <w:tr w:rsidR="00F5037E" w14:paraId="7F92AE03"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2B4B5F4A" w14:textId="77777777" w:rsidR="00F5037E" w:rsidRDefault="00752F86">
            <w:pPr>
              <w:spacing w:after="0" w:line="240" w:lineRule="auto"/>
            </w:pPr>
            <w:r>
              <w:rPr>
                <w:b/>
                <w:color w:val="333333"/>
                <w:sz w:val="16"/>
              </w:rPr>
              <w:t>Disposal of nonessential items</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059350E2" w14:textId="77777777" w:rsidR="00F5037E" w:rsidRDefault="00752F86">
            <w:pPr>
              <w:spacing w:after="0" w:line="240" w:lineRule="auto"/>
            </w:pPr>
            <w:r>
              <w:rPr>
                <w:color w:val="333333"/>
                <w:sz w:val="16"/>
              </w:rPr>
              <w:t>Assistance or an allowance to discard, sell, donate, or otherwise dispose of items that will not be moved.</w:t>
            </w:r>
          </w:p>
        </w:tc>
      </w:tr>
      <w:tr w:rsidR="00F5037E" w14:paraId="22BE0527"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392AA6F8" w14:textId="77777777" w:rsidR="00F5037E" w:rsidRDefault="00752F86">
            <w:pPr>
              <w:spacing w:after="0" w:line="240" w:lineRule="auto"/>
            </w:pPr>
            <w:r>
              <w:rPr>
                <w:b/>
                <w:color w:val="333333"/>
                <w:sz w:val="16"/>
              </w:rPr>
              <w:t>Vehicle shipment</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345457EE" w14:textId="77777777" w:rsidR="00F5037E" w:rsidRDefault="00752F86">
            <w:pPr>
              <w:spacing w:after="0" w:line="240" w:lineRule="auto"/>
            </w:pPr>
            <w:r>
              <w:rPr>
                <w:color w:val="333333"/>
                <w:sz w:val="16"/>
              </w:rPr>
              <w:t>Shipment of one or more personal vehicles, subject to policy and destination restrictions.</w:t>
            </w:r>
          </w:p>
        </w:tc>
      </w:tr>
      <w:tr w:rsidR="00F5037E" w14:paraId="75C5A956"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ED86BC7" w14:textId="77777777" w:rsidR="00F5037E" w:rsidRDefault="00752F86">
            <w:pPr>
              <w:spacing w:after="0" w:line="240" w:lineRule="auto"/>
            </w:pPr>
            <w:r>
              <w:rPr>
                <w:b/>
                <w:color w:val="333333"/>
                <w:sz w:val="16"/>
              </w:rPr>
              <w:t>Pet transportation</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7FAB9D7C" w14:textId="77777777" w:rsidR="00F5037E" w:rsidRDefault="00752F86">
            <w:pPr>
              <w:spacing w:after="0" w:line="240" w:lineRule="auto"/>
            </w:pPr>
            <w:r>
              <w:rPr>
                <w:color w:val="333333"/>
                <w:sz w:val="16"/>
              </w:rPr>
              <w:t>Support for transporting family pets, including carrier arrangements, veterinary documentation, import requirements, and quarantine where applicable.</w:t>
            </w:r>
          </w:p>
        </w:tc>
      </w:tr>
      <w:tr w:rsidR="00F5037E" w14:paraId="4BD2FA9F"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3AFE3BDB" w14:textId="77777777" w:rsidR="00F5037E" w:rsidRDefault="00752F86">
            <w:pPr>
              <w:spacing w:after="0" w:line="240" w:lineRule="auto"/>
            </w:pPr>
            <w:r>
              <w:rPr>
                <w:b/>
                <w:color w:val="333333"/>
                <w:sz w:val="16"/>
              </w:rPr>
              <w:t>Specialty shipping</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464B24E3" w14:textId="77777777" w:rsidR="00F5037E" w:rsidRDefault="00752F86">
            <w:pPr>
              <w:spacing w:after="0" w:line="240" w:lineRule="auto"/>
            </w:pPr>
            <w:r>
              <w:rPr>
                <w:color w:val="333333"/>
                <w:sz w:val="16"/>
              </w:rPr>
              <w:t>Support for nonstandard items such as artwork, wine, collections, equipment, or livestock when the business case and policy permit.</w:t>
            </w:r>
          </w:p>
        </w:tc>
      </w:tr>
      <w:tr w:rsidR="00F5037E" w14:paraId="3A124BFB" w14:textId="77777777">
        <w:trPr>
          <w:cantSplit/>
        </w:trPr>
        <w:tc>
          <w:tcPr>
            <w:tcW w:w="9720" w:type="dxa"/>
            <w:gridSpan w:val="2"/>
            <w:tcBorders>
              <w:top w:val="single" w:sz="4" w:space="0" w:color="B7C3D0"/>
              <w:left w:val="single" w:sz="4" w:space="0" w:color="B7C3D0"/>
              <w:bottom w:val="single" w:sz="4" w:space="0" w:color="B7C3D0"/>
              <w:right w:val="single" w:sz="4" w:space="0" w:color="B7C3D0"/>
            </w:tcBorders>
            <w:shd w:val="clear" w:color="auto" w:fill="1D2754"/>
            <w:tcMar>
              <w:top w:w="65" w:type="dxa"/>
              <w:left w:w="80" w:type="dxa"/>
              <w:bottom w:w="65" w:type="dxa"/>
              <w:right w:w="80" w:type="dxa"/>
            </w:tcMar>
          </w:tcPr>
          <w:p w14:paraId="77E57DA6" w14:textId="77777777" w:rsidR="00F5037E" w:rsidRDefault="00752F86">
            <w:pPr>
              <w:jc w:val="center"/>
            </w:pPr>
            <w:r>
              <w:rPr>
                <w:b/>
                <w:color w:val="FFFFFF"/>
                <w:sz w:val="16"/>
              </w:rPr>
              <w:t>HOUSING AND PROPERTY BENEFITS</w:t>
            </w:r>
          </w:p>
        </w:tc>
      </w:tr>
      <w:tr w:rsidR="00F5037E" w14:paraId="5CF291FB"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AF9ADA1" w14:textId="77777777" w:rsidR="00F5037E" w:rsidRDefault="00752F86">
            <w:pPr>
              <w:spacing w:after="0" w:line="240" w:lineRule="auto"/>
            </w:pPr>
            <w:r>
              <w:rPr>
                <w:b/>
                <w:color w:val="333333"/>
                <w:sz w:val="16"/>
              </w:rPr>
              <w:t>Home-sale assistance</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0786E457" w14:textId="77777777" w:rsidR="00F5037E" w:rsidRDefault="00752F86">
            <w:pPr>
              <w:spacing w:after="0" w:line="240" w:lineRule="auto"/>
            </w:pPr>
            <w:r>
              <w:rPr>
                <w:color w:val="333333"/>
                <w:sz w:val="16"/>
              </w:rPr>
              <w:t>Support in marketing and selling the origin home, which may include inspections, appraisals, commissions, closing costs, loss-on-sale provisions, or structured programs with specific tax treatment.</w:t>
            </w:r>
          </w:p>
        </w:tc>
      </w:tr>
      <w:tr w:rsidR="00F5037E" w14:paraId="60253B71"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0D722BF" w14:textId="77777777" w:rsidR="00F5037E" w:rsidRDefault="00752F86">
            <w:pPr>
              <w:spacing w:after="0" w:line="240" w:lineRule="auto"/>
            </w:pPr>
            <w:r>
              <w:rPr>
                <w:b/>
                <w:color w:val="333333"/>
                <w:sz w:val="16"/>
              </w:rPr>
              <w:t>Lease-break assistance</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385CEE0D" w14:textId="77777777" w:rsidR="00F5037E" w:rsidRDefault="00752F86">
            <w:pPr>
              <w:spacing w:after="0" w:line="240" w:lineRule="auto"/>
            </w:pPr>
            <w:r>
              <w:rPr>
                <w:color w:val="333333"/>
                <w:sz w:val="16"/>
              </w:rPr>
              <w:t>Payment or reimbursement of eligible costs associated with terminating an origin-location lease early.</w:t>
            </w:r>
          </w:p>
        </w:tc>
      </w:tr>
      <w:tr w:rsidR="00F5037E" w14:paraId="36464527"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0F664C46" w14:textId="77777777" w:rsidR="00F5037E" w:rsidRDefault="00752F86">
            <w:pPr>
              <w:spacing w:after="0" w:line="240" w:lineRule="auto"/>
            </w:pPr>
            <w:r>
              <w:rPr>
                <w:b/>
                <w:color w:val="333333"/>
                <w:sz w:val="16"/>
              </w:rPr>
              <w:t>Home finding</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288D452" w14:textId="77777777" w:rsidR="00F5037E" w:rsidRDefault="00752F86">
            <w:pPr>
              <w:spacing w:after="0" w:line="240" w:lineRule="auto"/>
            </w:pPr>
            <w:r>
              <w:rPr>
                <w:color w:val="333333"/>
                <w:sz w:val="16"/>
              </w:rPr>
              <w:t>Guided assistance in identifying and selecting suitable housing, including market orientation, property visits, and lease or purchase support.</w:t>
            </w:r>
          </w:p>
        </w:tc>
      </w:tr>
      <w:tr w:rsidR="00F5037E" w14:paraId="7DA839A2"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40D7AA35" w14:textId="77777777" w:rsidR="00F5037E" w:rsidRDefault="00752F86">
            <w:pPr>
              <w:spacing w:after="0" w:line="240" w:lineRule="auto"/>
            </w:pPr>
            <w:r>
              <w:rPr>
                <w:b/>
                <w:color w:val="333333"/>
                <w:sz w:val="16"/>
              </w:rPr>
              <w:t>Home-purchase assistance</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2CA98035" w14:textId="77777777" w:rsidR="00F5037E" w:rsidRDefault="00752F86">
            <w:pPr>
              <w:spacing w:after="0" w:line="240" w:lineRule="auto"/>
            </w:pPr>
            <w:r>
              <w:rPr>
                <w:color w:val="333333"/>
                <w:sz w:val="16"/>
              </w:rPr>
              <w:t>Payment or reimbursement of eligible costs associated with purchasing a home in the destination.</w:t>
            </w:r>
          </w:p>
        </w:tc>
      </w:tr>
      <w:tr w:rsidR="00F5037E" w14:paraId="497753B2"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39B7E786" w14:textId="77777777" w:rsidR="00F5037E" w:rsidRDefault="00752F86">
            <w:pPr>
              <w:spacing w:after="0" w:line="240" w:lineRule="auto"/>
            </w:pPr>
            <w:r>
              <w:rPr>
                <w:b/>
                <w:color w:val="333333"/>
                <w:sz w:val="16"/>
              </w:rPr>
              <w:t>Rental assistance</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5F39DA44" w14:textId="77777777" w:rsidR="00F5037E" w:rsidRDefault="00752F86">
            <w:pPr>
              <w:spacing w:after="0" w:line="240" w:lineRule="auto"/>
            </w:pPr>
            <w:r>
              <w:rPr>
                <w:color w:val="333333"/>
                <w:sz w:val="16"/>
              </w:rPr>
              <w:t>Support in securing rental housing, negotiating a lease, and paying defined deposits, fees, or other eligible costs.</w:t>
            </w:r>
          </w:p>
        </w:tc>
      </w:tr>
      <w:tr w:rsidR="00F5037E" w14:paraId="527BD0F9"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01D2AA36" w14:textId="77777777" w:rsidR="00F5037E" w:rsidRDefault="00752F86">
            <w:pPr>
              <w:spacing w:after="0" w:line="240" w:lineRule="auto"/>
            </w:pPr>
            <w:r>
              <w:rPr>
                <w:b/>
                <w:color w:val="333333"/>
                <w:sz w:val="16"/>
              </w:rPr>
              <w:t>Home-finding trip</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09D8853B" w14:textId="77777777" w:rsidR="00F5037E" w:rsidRDefault="00752F86">
            <w:pPr>
              <w:spacing w:after="0" w:line="240" w:lineRule="auto"/>
            </w:pPr>
            <w:r>
              <w:rPr>
                <w:color w:val="333333"/>
                <w:sz w:val="16"/>
              </w:rPr>
              <w:t>Travel and related expenses for the employee and, where eligible, family members to locate housing and address destination arrangements.</w:t>
            </w:r>
          </w:p>
        </w:tc>
      </w:tr>
      <w:tr w:rsidR="00F5037E" w14:paraId="3292ECF2"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730CB530" w14:textId="77777777" w:rsidR="00F5037E" w:rsidRDefault="00752F86">
            <w:pPr>
              <w:spacing w:after="0" w:line="240" w:lineRule="auto"/>
            </w:pPr>
            <w:r>
              <w:rPr>
                <w:b/>
                <w:color w:val="333333"/>
                <w:sz w:val="16"/>
              </w:rPr>
              <w:t>Tenancy or property-management services</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498FF410" w14:textId="77777777" w:rsidR="00F5037E" w:rsidRDefault="00752F86">
            <w:pPr>
              <w:spacing w:after="0" w:line="240" w:lineRule="auto"/>
            </w:pPr>
            <w:r>
              <w:rPr>
                <w:color w:val="333333"/>
                <w:sz w:val="16"/>
              </w:rPr>
              <w:t>Support in managing the destination tenancy or an origin property retained during the assignment, including landlord, utility, maintenance, or vacancy coordination.</w:t>
            </w:r>
          </w:p>
        </w:tc>
      </w:tr>
      <w:tr w:rsidR="00F5037E" w14:paraId="03EFE071" w14:textId="77777777">
        <w:trPr>
          <w:cantSplit/>
        </w:trPr>
        <w:tc>
          <w:tcPr>
            <w:tcW w:w="9720" w:type="dxa"/>
            <w:gridSpan w:val="2"/>
            <w:tcBorders>
              <w:top w:val="single" w:sz="4" w:space="0" w:color="B7C3D0"/>
              <w:left w:val="single" w:sz="4" w:space="0" w:color="B7C3D0"/>
              <w:bottom w:val="single" w:sz="4" w:space="0" w:color="B7C3D0"/>
              <w:right w:val="single" w:sz="4" w:space="0" w:color="B7C3D0"/>
            </w:tcBorders>
            <w:shd w:val="clear" w:color="auto" w:fill="1D2754"/>
            <w:tcMar>
              <w:top w:w="65" w:type="dxa"/>
              <w:left w:w="80" w:type="dxa"/>
              <w:bottom w:w="65" w:type="dxa"/>
              <w:right w:w="80" w:type="dxa"/>
            </w:tcMar>
          </w:tcPr>
          <w:p w14:paraId="4998BF4E" w14:textId="77777777" w:rsidR="00F5037E" w:rsidRDefault="00752F86">
            <w:pPr>
              <w:jc w:val="center"/>
            </w:pPr>
            <w:r>
              <w:rPr>
                <w:b/>
                <w:color w:val="FFFFFF"/>
                <w:sz w:val="16"/>
              </w:rPr>
              <w:t>TRAVEL AND TEMPORARY LIVING</w:t>
            </w:r>
          </w:p>
        </w:tc>
      </w:tr>
      <w:tr w:rsidR="00F5037E" w14:paraId="4291C302"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2481FF02" w14:textId="77777777" w:rsidR="00F5037E" w:rsidRDefault="00752F86">
            <w:pPr>
              <w:spacing w:after="0" w:line="240" w:lineRule="auto"/>
            </w:pPr>
            <w:r>
              <w:rPr>
                <w:b/>
                <w:color w:val="333333"/>
                <w:sz w:val="16"/>
              </w:rPr>
              <w:t>Final travel to the destination</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2A20ACCB" w14:textId="77777777" w:rsidR="00F5037E" w:rsidRDefault="00752F86">
            <w:pPr>
              <w:spacing w:after="0" w:line="240" w:lineRule="auto"/>
            </w:pPr>
            <w:r>
              <w:rPr>
                <w:color w:val="333333"/>
                <w:sz w:val="16"/>
              </w:rPr>
              <w:t>Coordination and payment of eligible expenses for the employee and family to travel to the new home or assignment location.</w:t>
            </w:r>
          </w:p>
        </w:tc>
      </w:tr>
      <w:tr w:rsidR="00F5037E" w14:paraId="578F2762"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CF306B4" w14:textId="77777777" w:rsidR="00F5037E" w:rsidRDefault="00752F86">
            <w:pPr>
              <w:spacing w:after="0" w:line="240" w:lineRule="auto"/>
            </w:pPr>
            <w:r>
              <w:rPr>
                <w:b/>
                <w:color w:val="333333"/>
                <w:sz w:val="16"/>
              </w:rPr>
              <w:t>Temporary living</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42552592" w14:textId="77777777" w:rsidR="00F5037E" w:rsidRDefault="00752F86">
            <w:pPr>
              <w:spacing w:after="0" w:line="240" w:lineRule="auto"/>
            </w:pPr>
            <w:r>
              <w:rPr>
                <w:color w:val="333333"/>
                <w:sz w:val="16"/>
              </w:rPr>
              <w:t>Hotel, serviced apartment, or other temporary accommodation in the origin or destination while permanent housing is unavailable.</w:t>
            </w:r>
          </w:p>
        </w:tc>
      </w:tr>
      <w:tr w:rsidR="00F5037E" w14:paraId="56D112D4"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29E6B02C" w14:textId="77777777" w:rsidR="00F5037E" w:rsidRDefault="00752F86">
            <w:pPr>
              <w:spacing w:after="0" w:line="240" w:lineRule="auto"/>
            </w:pPr>
            <w:r>
              <w:rPr>
                <w:b/>
                <w:color w:val="333333"/>
                <w:sz w:val="16"/>
              </w:rPr>
              <w:t>Home leave or rest-and-recuperation travel</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12014C19" w14:textId="77777777" w:rsidR="00F5037E" w:rsidRDefault="00752F86">
            <w:pPr>
              <w:spacing w:after="0" w:line="240" w:lineRule="auto"/>
            </w:pPr>
            <w:r>
              <w:rPr>
                <w:color w:val="333333"/>
                <w:sz w:val="16"/>
              </w:rPr>
              <w:t>Periodic travel from an assignment location to the home country or another designated location, particularly for long-term, remote, or hardship assignments.</w:t>
            </w:r>
          </w:p>
        </w:tc>
      </w:tr>
      <w:tr w:rsidR="00F5037E" w14:paraId="0D1721EC" w14:textId="77777777">
        <w:trPr>
          <w:cantSplit/>
        </w:trPr>
        <w:tc>
          <w:tcPr>
            <w:tcW w:w="9720" w:type="dxa"/>
            <w:gridSpan w:val="2"/>
            <w:tcBorders>
              <w:top w:val="single" w:sz="4" w:space="0" w:color="B7C3D0"/>
              <w:left w:val="single" w:sz="4" w:space="0" w:color="B7C3D0"/>
              <w:bottom w:val="single" w:sz="4" w:space="0" w:color="B7C3D0"/>
              <w:right w:val="single" w:sz="4" w:space="0" w:color="B7C3D0"/>
            </w:tcBorders>
            <w:shd w:val="clear" w:color="auto" w:fill="1D2754"/>
            <w:tcMar>
              <w:top w:w="65" w:type="dxa"/>
              <w:left w:w="80" w:type="dxa"/>
              <w:bottom w:w="65" w:type="dxa"/>
              <w:right w:w="80" w:type="dxa"/>
            </w:tcMar>
          </w:tcPr>
          <w:p w14:paraId="2DCC2E40" w14:textId="77777777" w:rsidR="00F5037E" w:rsidRDefault="00752F86">
            <w:pPr>
              <w:jc w:val="center"/>
            </w:pPr>
            <w:r>
              <w:rPr>
                <w:b/>
                <w:color w:val="FFFFFF"/>
                <w:sz w:val="16"/>
              </w:rPr>
              <w:t>SPOUSE, PARTNER, AND FAMILY SUPPORT</w:t>
            </w:r>
          </w:p>
        </w:tc>
      </w:tr>
      <w:tr w:rsidR="00F5037E" w14:paraId="168E5910"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4B7D17F3" w14:textId="77777777" w:rsidR="00F5037E" w:rsidRDefault="00752F86">
            <w:pPr>
              <w:spacing w:after="0" w:line="240" w:lineRule="auto"/>
            </w:pPr>
            <w:r>
              <w:rPr>
                <w:b/>
                <w:color w:val="333333"/>
                <w:sz w:val="16"/>
              </w:rPr>
              <w:t>Spouse or partner assistance</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190CAE7B" w14:textId="77777777" w:rsidR="00F5037E" w:rsidRDefault="00752F86">
            <w:pPr>
              <w:spacing w:after="0" w:line="240" w:lineRule="auto"/>
            </w:pPr>
            <w:r>
              <w:rPr>
                <w:color w:val="333333"/>
                <w:sz w:val="16"/>
              </w:rPr>
              <w:t>Career counseling, resume support, job-search guidance, education, volunteering, networking, or other transition support for an accompanying spouse or partner.</w:t>
            </w:r>
          </w:p>
        </w:tc>
      </w:tr>
      <w:tr w:rsidR="00F5037E" w14:paraId="3933BEE9"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DFB6D03" w14:textId="77777777" w:rsidR="00F5037E" w:rsidRDefault="00752F86">
            <w:pPr>
              <w:spacing w:after="0" w:line="240" w:lineRule="auto"/>
            </w:pPr>
            <w:r>
              <w:rPr>
                <w:b/>
                <w:color w:val="333333"/>
                <w:sz w:val="16"/>
              </w:rPr>
              <w:t>School search</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19200C0" w14:textId="77777777" w:rsidR="00F5037E" w:rsidRDefault="00752F86">
            <w:pPr>
              <w:spacing w:after="0" w:line="240" w:lineRule="auto"/>
            </w:pPr>
            <w:r>
              <w:rPr>
                <w:color w:val="333333"/>
                <w:sz w:val="16"/>
              </w:rPr>
              <w:t>Assistance in identifying and registering children in suitable schools, including information on public, private, international, boarding, or third-location options.</w:t>
            </w:r>
          </w:p>
        </w:tc>
      </w:tr>
      <w:tr w:rsidR="00F5037E" w14:paraId="48ED464E"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112FBF79" w14:textId="77777777" w:rsidR="00F5037E" w:rsidRDefault="00752F86">
            <w:pPr>
              <w:spacing w:after="0" w:line="240" w:lineRule="auto"/>
            </w:pPr>
            <w:r>
              <w:rPr>
                <w:b/>
                <w:color w:val="333333"/>
                <w:sz w:val="16"/>
              </w:rPr>
              <w:t>School-cost assistance</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FD13BBA" w14:textId="77777777" w:rsidR="00F5037E" w:rsidRDefault="00752F86">
            <w:pPr>
              <w:spacing w:after="0" w:line="240" w:lineRule="auto"/>
            </w:pPr>
            <w:r>
              <w:rPr>
                <w:color w:val="333333"/>
                <w:sz w:val="16"/>
              </w:rPr>
              <w:t>Payment or reimbursement of eligible tuition and, where the policy provides, registration fees, uniforms, books, transportation, or required school debentures.</w:t>
            </w:r>
          </w:p>
        </w:tc>
      </w:tr>
      <w:tr w:rsidR="00F5037E" w14:paraId="41FA966E" w14:textId="77777777">
        <w:trPr>
          <w:cantSplit/>
        </w:trPr>
        <w:tc>
          <w:tcPr>
            <w:tcW w:w="9720" w:type="dxa"/>
            <w:gridSpan w:val="2"/>
            <w:tcBorders>
              <w:top w:val="single" w:sz="4" w:space="0" w:color="B7C3D0"/>
              <w:left w:val="single" w:sz="4" w:space="0" w:color="B7C3D0"/>
              <w:bottom w:val="single" w:sz="4" w:space="0" w:color="B7C3D0"/>
              <w:right w:val="single" w:sz="4" w:space="0" w:color="B7C3D0"/>
            </w:tcBorders>
            <w:shd w:val="clear" w:color="auto" w:fill="1D2754"/>
            <w:tcMar>
              <w:top w:w="65" w:type="dxa"/>
              <w:left w:w="80" w:type="dxa"/>
              <w:bottom w:w="65" w:type="dxa"/>
              <w:right w:w="80" w:type="dxa"/>
            </w:tcMar>
          </w:tcPr>
          <w:p w14:paraId="51AF025D" w14:textId="77777777" w:rsidR="00F5037E" w:rsidRDefault="00752F86">
            <w:pPr>
              <w:jc w:val="center"/>
            </w:pPr>
            <w:r>
              <w:rPr>
                <w:b/>
                <w:color w:val="FFFFFF"/>
                <w:sz w:val="16"/>
              </w:rPr>
              <w:t>CULTURAL AND ACCLIMATION SUPPORT</w:t>
            </w:r>
          </w:p>
        </w:tc>
      </w:tr>
      <w:tr w:rsidR="00F5037E" w14:paraId="0F99709F"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4569E256" w14:textId="77777777" w:rsidR="00F5037E" w:rsidRDefault="00752F86">
            <w:pPr>
              <w:spacing w:after="0" w:line="240" w:lineRule="auto"/>
            </w:pPr>
            <w:r>
              <w:rPr>
                <w:b/>
                <w:color w:val="333333"/>
                <w:sz w:val="16"/>
              </w:rPr>
              <w:t>Language training</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0A1CD80F" w14:textId="77777777" w:rsidR="00F5037E" w:rsidRDefault="00752F86">
            <w:pPr>
              <w:spacing w:after="0" w:line="240" w:lineRule="auto"/>
            </w:pPr>
            <w:r>
              <w:rPr>
                <w:color w:val="333333"/>
                <w:sz w:val="16"/>
              </w:rPr>
              <w:t>Classroom, online, or individual instruction for the employee and eligible family members in the host or relevant language.</w:t>
            </w:r>
          </w:p>
        </w:tc>
      </w:tr>
      <w:tr w:rsidR="00F5037E" w14:paraId="37B449A4"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0C824DF2" w14:textId="77777777" w:rsidR="00F5037E" w:rsidRDefault="00752F86">
            <w:pPr>
              <w:spacing w:after="0" w:line="240" w:lineRule="auto"/>
            </w:pPr>
            <w:r>
              <w:rPr>
                <w:b/>
                <w:color w:val="333333"/>
                <w:sz w:val="16"/>
              </w:rPr>
              <w:t>Intercultural training</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7DF4E9A5" w14:textId="77777777" w:rsidR="00F5037E" w:rsidRDefault="00752F86">
            <w:pPr>
              <w:spacing w:after="0" w:line="240" w:lineRule="auto"/>
            </w:pPr>
            <w:r>
              <w:rPr>
                <w:color w:val="333333"/>
                <w:sz w:val="16"/>
              </w:rPr>
              <w:t>Workshops, coaching, or resources to help the employee and family understand and navigate cultural differences.</w:t>
            </w:r>
          </w:p>
        </w:tc>
      </w:tr>
      <w:tr w:rsidR="00F5037E" w14:paraId="4BF91521"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1A79E53B" w14:textId="77777777" w:rsidR="00F5037E" w:rsidRDefault="00752F86">
            <w:pPr>
              <w:spacing w:after="0" w:line="240" w:lineRule="auto"/>
            </w:pPr>
            <w:r>
              <w:rPr>
                <w:b/>
                <w:color w:val="333333"/>
                <w:sz w:val="16"/>
              </w:rPr>
              <w:t>Familiarization or settling-in assistance</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515BDB4E" w14:textId="77777777" w:rsidR="00F5037E" w:rsidRDefault="00752F86">
            <w:pPr>
              <w:spacing w:after="0" w:line="240" w:lineRule="auto"/>
            </w:pPr>
            <w:r>
              <w:rPr>
                <w:color w:val="333333"/>
                <w:sz w:val="16"/>
              </w:rPr>
              <w:t>Practical local support with shopping, transportation, utilities, medical resources, registrations, services, and daily life in the destination.</w:t>
            </w:r>
          </w:p>
        </w:tc>
      </w:tr>
      <w:tr w:rsidR="00F5037E" w14:paraId="4AB8341C" w14:textId="77777777">
        <w:trPr>
          <w:cantSplit/>
        </w:trPr>
        <w:tc>
          <w:tcPr>
            <w:tcW w:w="9720" w:type="dxa"/>
            <w:gridSpan w:val="2"/>
            <w:tcBorders>
              <w:top w:val="single" w:sz="4" w:space="0" w:color="B7C3D0"/>
              <w:left w:val="single" w:sz="4" w:space="0" w:color="B7C3D0"/>
              <w:bottom w:val="single" w:sz="4" w:space="0" w:color="B7C3D0"/>
              <w:right w:val="single" w:sz="4" w:space="0" w:color="B7C3D0"/>
            </w:tcBorders>
            <w:shd w:val="clear" w:color="auto" w:fill="1D2754"/>
            <w:tcMar>
              <w:top w:w="65" w:type="dxa"/>
              <w:left w:w="80" w:type="dxa"/>
              <w:bottom w:w="65" w:type="dxa"/>
              <w:right w:w="80" w:type="dxa"/>
            </w:tcMar>
          </w:tcPr>
          <w:p w14:paraId="2DAC6C01" w14:textId="77777777" w:rsidR="00F5037E" w:rsidRDefault="00752F86">
            <w:pPr>
              <w:jc w:val="center"/>
            </w:pPr>
            <w:r>
              <w:rPr>
                <w:b/>
                <w:color w:val="FFFFFF"/>
                <w:sz w:val="16"/>
              </w:rPr>
              <w:t>MISCELLANEOUS AND FLEXIBLE SUPPORT</w:t>
            </w:r>
          </w:p>
        </w:tc>
      </w:tr>
      <w:tr w:rsidR="00F5037E" w14:paraId="657932B7"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17B3F688" w14:textId="77777777" w:rsidR="00F5037E" w:rsidRDefault="00752F86">
            <w:pPr>
              <w:spacing w:after="0" w:line="240" w:lineRule="auto"/>
            </w:pPr>
            <w:r>
              <w:rPr>
                <w:b/>
                <w:color w:val="333333"/>
                <w:sz w:val="16"/>
              </w:rPr>
              <w:t>Miscellaneous allowance</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E058982" w14:textId="77777777" w:rsidR="00F5037E" w:rsidRDefault="00752F86">
            <w:pPr>
              <w:spacing w:after="0" w:line="240" w:lineRule="auto"/>
            </w:pPr>
            <w:r>
              <w:rPr>
                <w:color w:val="333333"/>
                <w:sz w:val="16"/>
              </w:rPr>
              <w:t>A cash allowance intended to cover incidental moving costs that are not otherwise specified or are impractical to reimburse individually.</w:t>
            </w:r>
          </w:p>
        </w:tc>
      </w:tr>
      <w:tr w:rsidR="00F5037E" w14:paraId="72FE18CA" w14:textId="77777777">
        <w:trPr>
          <w:cantSplit/>
        </w:trPr>
        <w:tc>
          <w:tcPr>
            <w:tcW w:w="2952"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759B854C" w14:textId="77777777" w:rsidR="00F5037E" w:rsidRDefault="00752F86">
            <w:pPr>
              <w:spacing w:after="0" w:line="240" w:lineRule="auto"/>
            </w:pPr>
            <w:r>
              <w:rPr>
                <w:b/>
                <w:color w:val="333333"/>
                <w:sz w:val="16"/>
              </w:rPr>
              <w:t>Flexible or points-based benefit</w:t>
            </w:r>
          </w:p>
        </w:tc>
        <w:tc>
          <w:tcPr>
            <w:tcW w:w="6768" w:type="dxa"/>
            <w:tcBorders>
              <w:top w:val="single" w:sz="4" w:space="0" w:color="B7C3D0"/>
              <w:left w:val="single" w:sz="4" w:space="0" w:color="B7C3D0"/>
              <w:bottom w:val="single" w:sz="4" w:space="0" w:color="B7C3D0"/>
              <w:right w:val="single" w:sz="4" w:space="0" w:color="B7C3D0"/>
            </w:tcBorders>
            <w:tcMar>
              <w:top w:w="60" w:type="dxa"/>
              <w:left w:w="75" w:type="dxa"/>
              <w:bottom w:w="60" w:type="dxa"/>
              <w:right w:w="75" w:type="dxa"/>
            </w:tcMar>
          </w:tcPr>
          <w:p w14:paraId="6A55A73F" w14:textId="77777777" w:rsidR="00F5037E" w:rsidRDefault="00752F86">
            <w:pPr>
              <w:spacing w:after="0" w:line="240" w:lineRule="auto"/>
            </w:pPr>
            <w:r>
              <w:rPr>
                <w:color w:val="333333"/>
                <w:sz w:val="16"/>
              </w:rPr>
              <w:t>A defined budget or set of options that allows employees to choose among eligible benefits within organizational guardrails.</w:t>
            </w:r>
          </w:p>
        </w:tc>
      </w:tr>
    </w:tbl>
    <w:p w14:paraId="1909F5B8" w14:textId="77777777" w:rsidR="00F5037E" w:rsidRDefault="00F5037E">
      <w:pPr>
        <w:sectPr w:rsidR="00F5037E">
          <w:headerReference w:type="default" r:id="rId12"/>
          <w:footerReference w:type="default" r:id="rId13"/>
          <w:pgSz w:w="12240" w:h="15840"/>
          <w:pgMar w:top="1037" w:right="1123" w:bottom="979" w:left="1123" w:header="403" w:footer="403" w:gutter="0"/>
          <w:cols w:space="720"/>
          <w:docGrid w:linePitch="360"/>
        </w:sectPr>
      </w:pPr>
    </w:p>
    <w:p w14:paraId="2E2462E5" w14:textId="77777777" w:rsidR="00F5037E" w:rsidRDefault="00752F86">
      <w:pPr>
        <w:pStyle w:val="Heading1"/>
        <w:spacing w:after="40"/>
      </w:pPr>
      <w:r>
        <w:rPr>
          <w:rFonts w:ascii="Arial" w:hAnsi="Arial"/>
          <w:color w:val="27A9D6"/>
          <w:sz w:val="26"/>
        </w:rPr>
        <w:t>Appendix B</w:t>
      </w:r>
    </w:p>
    <w:p w14:paraId="44F2B6DE" w14:textId="77777777" w:rsidR="00F5037E" w:rsidRDefault="00752F86">
      <w:pPr>
        <w:spacing w:after="160"/>
      </w:pPr>
      <w:r>
        <w:rPr>
          <w:b/>
          <w:color w:val="1D2754"/>
          <w:sz w:val="46"/>
        </w:rPr>
        <w:t>Mobility Policy Design Checklist</w:t>
      </w:r>
    </w:p>
    <w:p w14:paraId="2E5E4E06" w14:textId="77777777" w:rsidR="00F5037E" w:rsidRDefault="00752F86">
      <w:pPr>
        <w:spacing w:after="140"/>
      </w:pPr>
      <w:r>
        <w:rPr>
          <w:color w:val="333333"/>
        </w:rPr>
        <w:t>This checklist is designed to help an organization prepare for policy drafting or an adviser discussion. It is not necessary to know every answer at the beginning. The purpose is to identify decisions, gaps, owners, and areas requiring analysis.</w:t>
      </w:r>
    </w:p>
    <w:p w14:paraId="72E3FAD1" w14:textId="77777777" w:rsidR="00D467E4" w:rsidRDefault="00752F86">
      <w:pPr>
        <w:pStyle w:val="Heading2"/>
      </w:pPr>
      <w:r>
        <w:t>How to interpret the checklist</w:t>
      </w:r>
    </w:p>
    <w:p w14:paraId="2F1A1E6F" w14:textId="77777777" w:rsidR="00D467E4" w:rsidRDefault="00752F86">
      <w:r>
        <w:t>Do not treat the number of unanswered questions as a score. Look at where the gaps occur.</w:t>
      </w:r>
    </w:p>
    <w:p w14:paraId="180E6191" w14:textId="77777777" w:rsidR="00D467E4" w:rsidRDefault="00752F86">
      <w:pPr>
        <w:pStyle w:val="ListBullet"/>
      </w:pPr>
      <w:r>
        <w:t>Unanswered questions in Sections 1-3 suggest that the organization has not yet resolved its mobility strategy, scope, or employee proposition. Drafting policy language may be premature.</w:t>
      </w:r>
    </w:p>
    <w:p w14:paraId="7AC1B7F6" w14:textId="77777777" w:rsidR="00D467E4" w:rsidRDefault="00752F86">
      <w:pPr>
        <w:pStyle w:val="ListBullet"/>
      </w:pPr>
      <w:r>
        <w:t>Unanswered questions in Sections 4-7 indicate potential financial, compensation, employment, tax, immigration, benefit-design, or duty-of-care risks. Specialist analysis may be needed before decisions are finalized.</w:t>
      </w:r>
    </w:p>
    <w:p w14:paraId="74BB52B9" w14:textId="77777777" w:rsidR="00D467E4" w:rsidRDefault="00752F86">
      <w:pPr>
        <w:pStyle w:val="ListBullet"/>
      </w:pPr>
      <w:r>
        <w:t>Unanswered questions in Sections 8-10 suggest that the policy may be conceptually sound but the organization is not yet prepared to administer, govern, communicate, or measure it.</w:t>
      </w:r>
    </w:p>
    <w:p w14:paraId="516174DF" w14:textId="77777777" w:rsidR="00D467E4" w:rsidRDefault="00752F86">
      <w:pPr>
        <w:pStyle w:val="ListBullet"/>
      </w:pPr>
      <w:r>
        <w:t>Different answers from different business units or regions may indicate that the immediate need is a current-state assessment and governance discussion rather than a new template.</w:t>
      </w:r>
    </w:p>
    <w:p w14:paraId="22CD7DFC" w14:textId="77777777" w:rsidR="00F5037E" w:rsidRDefault="00752F86">
      <w:pPr>
        <w:pStyle w:val="Heading2"/>
        <w:spacing w:before="160" w:after="80"/>
      </w:pPr>
      <w:r>
        <w:rPr>
          <w:rFonts w:ascii="Arial" w:hAnsi="Arial"/>
        </w:rPr>
        <w:t>1. Business and talent strategy</w:t>
      </w:r>
    </w:p>
    <w:tbl>
      <w:tblPr>
        <w:tblW w:w="9719" w:type="dxa"/>
        <w:jc w:val="center"/>
        <w:tblLayout w:type="fixed"/>
        <w:tblLook w:val="04A0" w:firstRow="1" w:lastRow="0" w:firstColumn="1" w:lastColumn="0" w:noHBand="0" w:noVBand="1"/>
      </w:tblPr>
      <w:tblGrid>
        <w:gridCol w:w="518"/>
        <w:gridCol w:w="6278"/>
        <w:gridCol w:w="2923"/>
      </w:tblGrid>
      <w:tr w:rsidR="00F5037E" w14:paraId="74A3DCBA"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4066E066"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45BB7734"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43D8F10A" w14:textId="77777777" w:rsidR="00F5037E" w:rsidRDefault="00752F86">
            <w:r>
              <w:rPr>
                <w:b/>
                <w:color w:val="FFFFFF"/>
                <w:sz w:val="16"/>
              </w:rPr>
              <w:t>Decision / owner / notes</w:t>
            </w:r>
          </w:p>
        </w:tc>
      </w:tr>
      <w:tr w:rsidR="00F5037E" w14:paraId="51D0C883"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4D57D271"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3D311118" w14:textId="77777777" w:rsidR="00F5037E" w:rsidRDefault="00752F86">
            <w:pPr>
              <w:spacing w:after="0" w:line="240" w:lineRule="auto"/>
            </w:pPr>
            <w:r>
              <w:rPr>
                <w:color w:val="333333"/>
                <w:sz w:val="16"/>
              </w:rPr>
              <w:t>What business or talent problems should mobility solve?</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1E69899B" w14:textId="77777777" w:rsidR="00F5037E" w:rsidRDefault="00F5037E">
            <w:pPr>
              <w:spacing w:after="0" w:line="240" w:lineRule="auto"/>
            </w:pPr>
          </w:p>
        </w:tc>
      </w:tr>
      <w:tr w:rsidR="00F5037E" w14:paraId="7B791CCD"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51A93530"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36A45FB" w14:textId="77777777" w:rsidR="00F5037E" w:rsidRDefault="00752F86">
            <w:pPr>
              <w:spacing w:after="0" w:line="240" w:lineRule="auto"/>
            </w:pPr>
            <w:r>
              <w:rPr>
                <w:color w:val="333333"/>
                <w:sz w:val="16"/>
              </w:rPr>
              <w:t>Before approving a move, have alternatives such as local hiring, remote work, travel, commuting, a short-term project team, or moving the work been considered?</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F0B9C53" w14:textId="77777777" w:rsidR="00F5037E" w:rsidRDefault="00F5037E">
            <w:pPr>
              <w:spacing w:after="0" w:line="240" w:lineRule="auto"/>
            </w:pPr>
          </w:p>
        </w:tc>
      </w:tr>
      <w:tr w:rsidR="00F5037E" w14:paraId="02D7B82C"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7052E007"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36695A9D" w14:textId="77777777" w:rsidR="00F5037E" w:rsidRDefault="00752F86">
            <w:pPr>
              <w:spacing w:after="0" w:line="240" w:lineRule="auto"/>
            </w:pPr>
            <w:r>
              <w:rPr>
                <w:color w:val="333333"/>
                <w:sz w:val="16"/>
              </w:rPr>
              <w:t>Which roles, employee populations, or talent programs require mobility?</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02C60C6F" w14:textId="77777777" w:rsidR="00F5037E" w:rsidRDefault="00F5037E">
            <w:pPr>
              <w:spacing w:after="0" w:line="240" w:lineRule="auto"/>
            </w:pPr>
          </w:p>
        </w:tc>
      </w:tr>
      <w:tr w:rsidR="00F5037E" w14:paraId="7E098043"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28C12C28"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5C7BF8A" w14:textId="77777777" w:rsidR="00F5037E" w:rsidRDefault="00752F86">
            <w:pPr>
              <w:spacing w:after="0" w:line="240" w:lineRule="auto"/>
            </w:pPr>
            <w:r>
              <w:rPr>
                <w:color w:val="333333"/>
                <w:sz w:val="16"/>
              </w:rPr>
              <w:t>Is mobility primarily company-directed, developmental, recruitment-driven, project-based, or employee-initiated?</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B0BC822" w14:textId="77777777" w:rsidR="00F5037E" w:rsidRDefault="00F5037E">
            <w:pPr>
              <w:spacing w:after="0" w:line="240" w:lineRule="auto"/>
            </w:pPr>
          </w:p>
        </w:tc>
      </w:tr>
      <w:tr w:rsidR="00F5037E" w14:paraId="6471D207"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4D8A8838"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5698AC2D" w14:textId="77777777" w:rsidR="00F5037E" w:rsidRDefault="00752F86">
            <w:pPr>
              <w:spacing w:after="0" w:line="240" w:lineRule="auto"/>
            </w:pPr>
            <w:r>
              <w:rPr>
                <w:color w:val="333333"/>
                <w:sz w:val="16"/>
              </w:rPr>
              <w:t>What annual move volume is expected, and how reliable is the forecast?</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3A122067" w14:textId="77777777" w:rsidR="00F5037E" w:rsidRDefault="00F5037E">
            <w:pPr>
              <w:spacing w:after="0" w:line="240" w:lineRule="auto"/>
            </w:pPr>
          </w:p>
        </w:tc>
      </w:tr>
      <w:tr w:rsidR="00F5037E" w14:paraId="68AB5F0F"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7D9342BC"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5743197" w14:textId="77777777" w:rsidR="00F5037E" w:rsidRDefault="00752F86">
            <w:pPr>
              <w:spacing w:after="0" w:line="240" w:lineRule="auto"/>
            </w:pPr>
            <w:r>
              <w:rPr>
                <w:color w:val="333333"/>
                <w:sz w:val="16"/>
              </w:rPr>
              <w:t>What would a successful mobility program make possible that is difficult today?</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59F3B1C" w14:textId="77777777" w:rsidR="00F5037E" w:rsidRDefault="00F5037E">
            <w:pPr>
              <w:spacing w:after="0" w:line="240" w:lineRule="auto"/>
            </w:pPr>
          </w:p>
        </w:tc>
      </w:tr>
    </w:tbl>
    <w:p w14:paraId="116AC401" w14:textId="77777777" w:rsidR="00F5037E" w:rsidRDefault="00F5037E">
      <w:pPr>
        <w:spacing w:after="0"/>
      </w:pPr>
    </w:p>
    <w:p w14:paraId="47EE1003" w14:textId="77777777" w:rsidR="00F5037E" w:rsidRDefault="00752F86">
      <w:pPr>
        <w:pStyle w:val="Heading2"/>
        <w:spacing w:before="160" w:after="80"/>
      </w:pPr>
      <w:r>
        <w:rPr>
          <w:rFonts w:ascii="Arial" w:hAnsi="Arial"/>
        </w:rPr>
        <w:t>2. Scope and policy architecture</w:t>
      </w:r>
    </w:p>
    <w:tbl>
      <w:tblPr>
        <w:tblW w:w="9719" w:type="dxa"/>
        <w:jc w:val="center"/>
        <w:tblLayout w:type="fixed"/>
        <w:tblLook w:val="04A0" w:firstRow="1" w:lastRow="0" w:firstColumn="1" w:lastColumn="0" w:noHBand="0" w:noVBand="1"/>
      </w:tblPr>
      <w:tblGrid>
        <w:gridCol w:w="518"/>
        <w:gridCol w:w="6278"/>
        <w:gridCol w:w="2923"/>
      </w:tblGrid>
      <w:tr w:rsidR="00F5037E" w14:paraId="2FD781ED"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12E91F08"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14582484"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147D8EAF" w14:textId="77777777" w:rsidR="00F5037E" w:rsidRDefault="00752F86">
            <w:r>
              <w:rPr>
                <w:b/>
                <w:color w:val="FFFFFF"/>
                <w:sz w:val="16"/>
              </w:rPr>
              <w:t>Decision / owner / notes</w:t>
            </w:r>
          </w:p>
        </w:tc>
      </w:tr>
      <w:tr w:rsidR="00F5037E" w14:paraId="21B9A885"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79A03D55"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135DD6B9" w14:textId="77777777" w:rsidR="00F5037E" w:rsidRDefault="00752F86">
            <w:pPr>
              <w:spacing w:after="0" w:line="240" w:lineRule="auto"/>
            </w:pPr>
            <w:r>
              <w:rPr>
                <w:color w:val="333333"/>
                <w:sz w:val="16"/>
              </w:rPr>
              <w:t>Which move types are in scope: travel, extended travel, short-term assignment, long-term assignment, permanent transfer, commuter, or remote work?</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12033FF7" w14:textId="77777777" w:rsidR="00F5037E" w:rsidRDefault="00F5037E">
            <w:pPr>
              <w:spacing w:after="0" w:line="240" w:lineRule="auto"/>
            </w:pPr>
          </w:p>
        </w:tc>
      </w:tr>
      <w:tr w:rsidR="00F5037E" w14:paraId="21073673"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6A82BC39"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47BC29B" w14:textId="77777777" w:rsidR="00F5037E" w:rsidRDefault="00752F86">
            <w:pPr>
              <w:spacing w:after="0" w:line="240" w:lineRule="auto"/>
            </w:pPr>
            <w:r>
              <w:rPr>
                <w:color w:val="333333"/>
                <w:sz w:val="16"/>
              </w:rPr>
              <w:t>Which domestic and international geographies are most relevant?</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AE57D5E" w14:textId="77777777" w:rsidR="00F5037E" w:rsidRDefault="00F5037E">
            <w:pPr>
              <w:spacing w:after="0" w:line="240" w:lineRule="auto"/>
            </w:pPr>
          </w:p>
        </w:tc>
      </w:tr>
      <w:tr w:rsidR="00F5037E" w14:paraId="729DEB37"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2CC08F34"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24284EB" w14:textId="77777777" w:rsidR="00F5037E" w:rsidRDefault="00752F86">
            <w:pPr>
              <w:spacing w:after="0" w:line="240" w:lineRule="auto"/>
            </w:pPr>
            <w:r>
              <w:rPr>
                <w:color w:val="333333"/>
                <w:sz w:val="16"/>
              </w:rPr>
              <w:t>Will one policy cover all populations, or are separate policies or tiers required?</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CF23310" w14:textId="77777777" w:rsidR="00F5037E" w:rsidRDefault="00F5037E">
            <w:pPr>
              <w:spacing w:after="0" w:line="240" w:lineRule="auto"/>
            </w:pPr>
          </w:p>
        </w:tc>
      </w:tr>
      <w:tr w:rsidR="00F5037E" w14:paraId="129DF45B"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2F55874E"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F348B95" w14:textId="77777777" w:rsidR="00F5037E" w:rsidRDefault="00752F86">
            <w:pPr>
              <w:spacing w:after="0" w:line="240" w:lineRule="auto"/>
            </w:pPr>
            <w:r>
              <w:rPr>
                <w:color w:val="333333"/>
                <w:sz w:val="16"/>
              </w:rPr>
              <w:t>What facts will determine which policy applies?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DDBC193" w14:textId="77777777" w:rsidR="00F5037E" w:rsidRDefault="00F5037E">
            <w:pPr>
              <w:spacing w:after="0" w:line="240" w:lineRule="auto"/>
            </w:pPr>
          </w:p>
        </w:tc>
      </w:tr>
      <w:tr w:rsidR="00F5037E" w14:paraId="306CC49C"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50B3F344"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228857FD" w14:textId="77777777" w:rsidR="00F5037E" w:rsidRDefault="00752F86">
            <w:pPr>
              <w:spacing w:after="0" w:line="240" w:lineRule="auto"/>
            </w:pPr>
            <w:r>
              <w:rPr>
                <w:color w:val="333333"/>
                <w:sz w:val="16"/>
              </w:rPr>
              <w:t>Who is eligible, and who can approve participation?</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3A4480B" w14:textId="77777777" w:rsidR="00F5037E" w:rsidRDefault="00F5037E">
            <w:pPr>
              <w:spacing w:after="0" w:line="240" w:lineRule="auto"/>
            </w:pPr>
          </w:p>
        </w:tc>
      </w:tr>
    </w:tbl>
    <w:p w14:paraId="57BF5CC0" w14:textId="77777777" w:rsidR="00F5037E" w:rsidRDefault="00F5037E">
      <w:pPr>
        <w:spacing w:after="0"/>
      </w:pPr>
    </w:p>
    <w:p w14:paraId="635627E9" w14:textId="77777777" w:rsidR="00F5037E" w:rsidRDefault="00752F86">
      <w:pPr>
        <w:pStyle w:val="Heading2"/>
        <w:spacing w:before="160" w:after="80"/>
      </w:pPr>
      <w:r>
        <w:rPr>
          <w:rFonts w:ascii="Arial" w:hAnsi="Arial"/>
        </w:rPr>
        <w:t>3. Policy philosophy and employee proposition</w:t>
      </w:r>
    </w:p>
    <w:tbl>
      <w:tblPr>
        <w:tblW w:w="9719" w:type="dxa"/>
        <w:jc w:val="center"/>
        <w:tblLayout w:type="fixed"/>
        <w:tblLook w:val="04A0" w:firstRow="1" w:lastRow="0" w:firstColumn="1" w:lastColumn="0" w:noHBand="0" w:noVBand="1"/>
      </w:tblPr>
      <w:tblGrid>
        <w:gridCol w:w="518"/>
        <w:gridCol w:w="6278"/>
        <w:gridCol w:w="2923"/>
      </w:tblGrid>
      <w:tr w:rsidR="00F5037E" w14:paraId="081E6754"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7B4600A4"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47937C1A"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000CDA46" w14:textId="77777777" w:rsidR="00F5037E" w:rsidRDefault="00752F86">
            <w:r>
              <w:rPr>
                <w:b/>
                <w:color w:val="FFFFFF"/>
                <w:sz w:val="16"/>
              </w:rPr>
              <w:t>Decision / owner / notes</w:t>
            </w:r>
          </w:p>
        </w:tc>
      </w:tr>
      <w:tr w:rsidR="00F5037E" w14:paraId="14A0EB6F"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116EC854"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6207F23C" w14:textId="77777777" w:rsidR="00F5037E" w:rsidRDefault="00752F86">
            <w:pPr>
              <w:spacing w:after="0" w:line="240" w:lineRule="auto"/>
            </w:pPr>
            <w:r>
              <w:rPr>
                <w:color w:val="333333"/>
                <w:sz w:val="16"/>
              </w:rPr>
              <w:t>How much employee choice should the program allow?</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65E4C686" w14:textId="77777777" w:rsidR="00F5037E" w:rsidRDefault="00F5037E">
            <w:pPr>
              <w:spacing w:after="0" w:line="240" w:lineRule="auto"/>
            </w:pPr>
          </w:p>
        </w:tc>
      </w:tr>
      <w:tr w:rsidR="00F5037E" w14:paraId="228944B6"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7C74B240"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3E7328B" w14:textId="77777777" w:rsidR="00F5037E" w:rsidRDefault="00752F86">
            <w:pPr>
              <w:spacing w:after="0" w:line="240" w:lineRule="auto"/>
            </w:pPr>
            <w:r>
              <w:rPr>
                <w:color w:val="333333"/>
                <w:sz w:val="16"/>
              </w:rPr>
              <w:t>Will support be delivered through direct services, reimbursement, allowances, lump sums, or a combination?</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78ACA8C" w14:textId="77777777" w:rsidR="00F5037E" w:rsidRDefault="00F5037E">
            <w:pPr>
              <w:spacing w:after="0" w:line="240" w:lineRule="auto"/>
            </w:pPr>
          </w:p>
        </w:tc>
      </w:tr>
      <w:tr w:rsidR="00F5037E" w14:paraId="5D51EE3E"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071DCAAB"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1CF4BFB7" w14:textId="77777777" w:rsidR="00F5037E" w:rsidRDefault="00752F86">
            <w:pPr>
              <w:spacing w:after="0" w:line="240" w:lineRule="auto"/>
            </w:pPr>
            <w:r>
              <w:rPr>
                <w:color w:val="333333"/>
                <w:sz w:val="16"/>
              </w:rPr>
              <w:t>Is the intent to make employees whole, offset specific incremental costs, remove critical barriers, or provide limited assistance?</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746B8ECB" w14:textId="77777777" w:rsidR="00F5037E" w:rsidRDefault="00F5037E">
            <w:pPr>
              <w:spacing w:after="0" w:line="240" w:lineRule="auto"/>
            </w:pPr>
          </w:p>
        </w:tc>
      </w:tr>
      <w:tr w:rsidR="00F5037E" w14:paraId="7FB36909"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2B2D9AF7"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F9EB26D" w14:textId="77777777" w:rsidR="00F5037E" w:rsidRDefault="00752F86">
            <w:pPr>
              <w:spacing w:after="0" w:line="240" w:lineRule="auto"/>
            </w:pPr>
            <w:r>
              <w:rPr>
                <w:color w:val="333333"/>
                <w:sz w:val="16"/>
              </w:rPr>
              <w:t>How should support differ for company-directed, developmental, and employee-initiated moves?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62FB805" w14:textId="77777777" w:rsidR="00F5037E" w:rsidRDefault="00F5037E">
            <w:pPr>
              <w:spacing w:after="0" w:line="240" w:lineRule="auto"/>
            </w:pPr>
          </w:p>
        </w:tc>
      </w:tr>
      <w:tr w:rsidR="00F5037E" w14:paraId="51945B4F"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20D17A94"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1F58406E" w14:textId="77777777" w:rsidR="00F5037E" w:rsidRDefault="00752F86">
            <w:pPr>
              <w:spacing w:after="0" w:line="240" w:lineRule="auto"/>
            </w:pPr>
            <w:r>
              <w:rPr>
                <w:color w:val="333333"/>
                <w:sz w:val="16"/>
              </w:rPr>
              <w:t>What commitments are necessary for employees and families to accept and complete moves successfully?</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17AC8C70" w14:textId="77777777" w:rsidR="00F5037E" w:rsidRDefault="00F5037E">
            <w:pPr>
              <w:spacing w:after="0" w:line="240" w:lineRule="auto"/>
            </w:pPr>
          </w:p>
        </w:tc>
      </w:tr>
      <w:tr w:rsidR="00F5037E" w14:paraId="0A8C847D"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437FCF80"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9482743" w14:textId="77777777" w:rsidR="00F5037E" w:rsidRDefault="00752F86">
            <w:pPr>
              <w:spacing w:after="0" w:line="240" w:lineRule="auto"/>
            </w:pPr>
            <w:r>
              <w:rPr>
                <w:color w:val="333333"/>
                <w:sz w:val="16"/>
              </w:rPr>
              <w:t>How will employee and family readiness, expectations, and destination realities be assessed before approval?</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016ECF1" w14:textId="77777777" w:rsidR="00F5037E" w:rsidRDefault="00F5037E">
            <w:pPr>
              <w:spacing w:after="0" w:line="240" w:lineRule="auto"/>
            </w:pPr>
          </w:p>
        </w:tc>
      </w:tr>
    </w:tbl>
    <w:p w14:paraId="4BC365F5" w14:textId="77777777" w:rsidR="00F5037E" w:rsidRDefault="00F5037E">
      <w:pPr>
        <w:spacing w:after="0"/>
      </w:pPr>
    </w:p>
    <w:p w14:paraId="222B587E" w14:textId="77777777" w:rsidR="00F5037E" w:rsidRDefault="00752F86">
      <w:pPr>
        <w:pStyle w:val="Heading2"/>
        <w:spacing w:before="160" w:after="80"/>
      </w:pPr>
      <w:r>
        <w:rPr>
          <w:rFonts w:ascii="Arial" w:hAnsi="Arial"/>
        </w:rPr>
        <w:t>4. Financial parameters and cost management</w:t>
      </w:r>
    </w:p>
    <w:tbl>
      <w:tblPr>
        <w:tblW w:w="9719" w:type="dxa"/>
        <w:jc w:val="center"/>
        <w:tblLayout w:type="fixed"/>
        <w:tblLook w:val="04A0" w:firstRow="1" w:lastRow="0" w:firstColumn="1" w:lastColumn="0" w:noHBand="0" w:noVBand="1"/>
      </w:tblPr>
      <w:tblGrid>
        <w:gridCol w:w="518"/>
        <w:gridCol w:w="6278"/>
        <w:gridCol w:w="2923"/>
      </w:tblGrid>
      <w:tr w:rsidR="00F5037E" w14:paraId="46BBEB03"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73EE9E08"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243184F4"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1AC65BC9" w14:textId="77777777" w:rsidR="00F5037E" w:rsidRDefault="00752F86">
            <w:r>
              <w:rPr>
                <w:b/>
                <w:color w:val="FFFFFF"/>
                <w:sz w:val="16"/>
              </w:rPr>
              <w:t>Decision / owner / notes</w:t>
            </w:r>
          </w:p>
        </w:tc>
      </w:tr>
      <w:tr w:rsidR="00F5037E" w14:paraId="189C5840"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3233A663"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0282E4B5" w14:textId="77777777" w:rsidR="00F5037E" w:rsidRDefault="00752F86">
            <w:pPr>
              <w:spacing w:after="0" w:line="240" w:lineRule="auto"/>
            </w:pPr>
            <w:r>
              <w:rPr>
                <w:color w:val="333333"/>
                <w:sz w:val="16"/>
              </w:rPr>
              <w:t>What budget is available per move and across the annual program?</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28CA4D4" w14:textId="77777777" w:rsidR="00F5037E" w:rsidRDefault="00F5037E">
            <w:pPr>
              <w:spacing w:after="0" w:line="240" w:lineRule="auto"/>
            </w:pPr>
          </w:p>
        </w:tc>
      </w:tr>
      <w:tr w:rsidR="00F5037E" w14:paraId="44843C12"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40F243C6"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91EE96F" w14:textId="77777777" w:rsidR="00F5037E" w:rsidRDefault="00752F86">
            <w:pPr>
              <w:spacing w:after="0" w:line="240" w:lineRule="auto"/>
            </w:pPr>
            <w:r>
              <w:rPr>
                <w:color w:val="333333"/>
                <w:sz w:val="16"/>
              </w:rPr>
              <w:t>Which costs are essential, discretionary, capped, shared, or employee-responsibility?</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1EE0D62" w14:textId="77777777" w:rsidR="00F5037E" w:rsidRDefault="00F5037E">
            <w:pPr>
              <w:spacing w:after="0" w:line="240" w:lineRule="auto"/>
            </w:pPr>
          </w:p>
        </w:tc>
      </w:tr>
      <w:tr w:rsidR="00F5037E" w14:paraId="324281AA"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200165B8"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0A7FBE3" w14:textId="77777777" w:rsidR="00F5037E" w:rsidRDefault="00752F86">
            <w:pPr>
              <w:spacing w:after="0" w:line="240" w:lineRule="auto"/>
            </w:pPr>
            <w:r>
              <w:rPr>
                <w:color w:val="333333"/>
                <w:sz w:val="16"/>
              </w:rPr>
              <w:t>Will cost estimates be required before approval?</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7772E92" w14:textId="77777777" w:rsidR="00F5037E" w:rsidRDefault="00F5037E">
            <w:pPr>
              <w:spacing w:after="0" w:line="240" w:lineRule="auto"/>
            </w:pPr>
          </w:p>
        </w:tc>
      </w:tr>
      <w:tr w:rsidR="00F5037E" w14:paraId="58A5C052"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3C751C84"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3D3D1E9" w14:textId="77777777" w:rsidR="00F5037E" w:rsidRDefault="00752F86">
            <w:pPr>
              <w:spacing w:after="0" w:line="240" w:lineRule="auto"/>
            </w:pPr>
            <w:r>
              <w:rPr>
                <w:color w:val="333333"/>
                <w:sz w:val="16"/>
              </w:rPr>
              <w:t>Who owns the mobility budget, and which business unit or cost center pays?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028CF4F" w14:textId="77777777" w:rsidR="00F5037E" w:rsidRDefault="00F5037E">
            <w:pPr>
              <w:spacing w:after="0" w:line="240" w:lineRule="auto"/>
            </w:pPr>
          </w:p>
        </w:tc>
      </w:tr>
      <w:tr w:rsidR="00F5037E" w14:paraId="394430EF"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69CFF396"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9C0AD9D" w14:textId="77777777" w:rsidR="00F5037E" w:rsidRDefault="00752F86">
            <w:pPr>
              <w:spacing w:after="0" w:line="240" w:lineRule="auto"/>
            </w:pPr>
            <w:r>
              <w:rPr>
                <w:color w:val="333333"/>
                <w:sz w:val="16"/>
              </w:rPr>
              <w:t>How will estimates be compared with actual costs?</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1FD13DFF" w14:textId="77777777" w:rsidR="00F5037E" w:rsidRDefault="00F5037E">
            <w:pPr>
              <w:spacing w:after="0" w:line="240" w:lineRule="auto"/>
            </w:pPr>
          </w:p>
        </w:tc>
      </w:tr>
      <w:tr w:rsidR="00F5037E" w14:paraId="3CC7693C"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08161DBD"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37F9820" w14:textId="77777777" w:rsidR="00F5037E" w:rsidRDefault="00752F86">
            <w:pPr>
              <w:spacing w:after="0" w:line="240" w:lineRule="auto"/>
            </w:pPr>
            <w:r>
              <w:rPr>
                <w:color w:val="333333"/>
                <w:sz w:val="16"/>
              </w:rPr>
              <w:t>How will tax gross-ups, supplier fees, internal administration, and exceptions be included in cost analysis?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0FBF3DE" w14:textId="77777777" w:rsidR="00F5037E" w:rsidRDefault="00F5037E">
            <w:pPr>
              <w:spacing w:after="0" w:line="240" w:lineRule="auto"/>
            </w:pPr>
          </w:p>
        </w:tc>
      </w:tr>
      <w:tr w:rsidR="00F5037E" w14:paraId="6A7D8559"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491CF79E" w14:textId="77777777" w:rsidR="00D467E4" w:rsidRDefault="00752F86">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754338C" w14:textId="77777777" w:rsidR="00D467E4" w:rsidRDefault="00752F86">
            <w:r>
              <w:rPr>
                <w:color w:val="333333"/>
                <w:sz w:val="16"/>
              </w:rPr>
              <w:t>Have cost estimates been tested against real employee profiles, family circumstances, destinations, tax treatment, and supplier costs rather than standard assumptions?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44A892D" w14:textId="77777777" w:rsidR="00D467E4" w:rsidRDefault="00D467E4"/>
        </w:tc>
      </w:tr>
    </w:tbl>
    <w:p w14:paraId="6C7186DD" w14:textId="77777777" w:rsidR="00F5037E" w:rsidRDefault="00F5037E">
      <w:pPr>
        <w:spacing w:after="0"/>
      </w:pPr>
    </w:p>
    <w:p w14:paraId="5A4FBCD4" w14:textId="77777777" w:rsidR="00F5037E" w:rsidRDefault="00752F86">
      <w:pPr>
        <w:pStyle w:val="Heading2"/>
        <w:spacing w:before="160" w:after="80"/>
      </w:pPr>
      <w:r>
        <w:rPr>
          <w:rFonts w:ascii="Arial" w:hAnsi="Arial"/>
        </w:rPr>
        <w:t>5. Employment and total rewards</w:t>
      </w:r>
    </w:p>
    <w:tbl>
      <w:tblPr>
        <w:tblW w:w="9719" w:type="dxa"/>
        <w:jc w:val="center"/>
        <w:tblLayout w:type="fixed"/>
        <w:tblLook w:val="04A0" w:firstRow="1" w:lastRow="0" w:firstColumn="1" w:lastColumn="0" w:noHBand="0" w:noVBand="1"/>
      </w:tblPr>
      <w:tblGrid>
        <w:gridCol w:w="518"/>
        <w:gridCol w:w="6278"/>
        <w:gridCol w:w="2923"/>
      </w:tblGrid>
      <w:tr w:rsidR="00F5037E" w14:paraId="1A295809"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400BE443"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2340B09D"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03C43B73" w14:textId="77777777" w:rsidR="00F5037E" w:rsidRDefault="00752F86">
            <w:r>
              <w:rPr>
                <w:b/>
                <w:color w:val="FFFFFF"/>
                <w:sz w:val="16"/>
              </w:rPr>
              <w:t>Decision / owner / notes</w:t>
            </w:r>
          </w:p>
        </w:tc>
      </w:tr>
      <w:tr w:rsidR="00F5037E" w14:paraId="7B809522"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3F232005"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419035FC" w14:textId="77777777" w:rsidR="00F5037E" w:rsidRDefault="00752F86">
            <w:pPr>
              <w:spacing w:after="0" w:line="240" w:lineRule="auto"/>
            </w:pPr>
            <w:r>
              <w:rPr>
                <w:color w:val="333333"/>
                <w:sz w:val="16"/>
              </w:rPr>
              <w:t>Which employing entity and employment terms will apply during and after the move?</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5473DA0A" w14:textId="77777777" w:rsidR="00F5037E" w:rsidRDefault="00F5037E">
            <w:pPr>
              <w:spacing w:after="0" w:line="240" w:lineRule="auto"/>
            </w:pPr>
          </w:p>
        </w:tc>
      </w:tr>
      <w:tr w:rsidR="00F5037E" w14:paraId="7556CBF9"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0EE641F3"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27CBFD9" w14:textId="77777777" w:rsidR="00F5037E" w:rsidRDefault="00752F86">
            <w:pPr>
              <w:spacing w:after="0" w:line="240" w:lineRule="auto"/>
            </w:pPr>
            <w:r>
              <w:rPr>
                <w:color w:val="333333"/>
                <w:sz w:val="16"/>
              </w:rPr>
              <w:t>For assignments, what is the intended end state - repatriation, localization, or onward movement - and who owns post-assignment career planning?</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6D8C6FD" w14:textId="77777777" w:rsidR="00F5037E" w:rsidRDefault="00F5037E">
            <w:pPr>
              <w:spacing w:after="0" w:line="240" w:lineRule="auto"/>
            </w:pPr>
          </w:p>
        </w:tc>
      </w:tr>
      <w:tr w:rsidR="00F5037E" w14:paraId="6718D9B0"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1DDBF73C"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1AA8824E" w14:textId="77777777" w:rsidR="00F5037E" w:rsidRDefault="00752F86">
            <w:pPr>
              <w:spacing w:after="0" w:line="240" w:lineRule="auto"/>
            </w:pPr>
            <w:r>
              <w:rPr>
                <w:color w:val="333333"/>
                <w:sz w:val="16"/>
              </w:rPr>
              <w:t>How will salary, incentives, retirement, health, and other benefits be managed?</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4D9BA514" w14:textId="77777777" w:rsidR="00F5037E" w:rsidRDefault="00F5037E">
            <w:pPr>
              <w:spacing w:after="0" w:line="240" w:lineRule="auto"/>
            </w:pPr>
          </w:p>
        </w:tc>
      </w:tr>
      <w:tr w:rsidR="00F5037E" w14:paraId="0071287F"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3F642495"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FDC3454" w14:textId="77777777" w:rsidR="00F5037E" w:rsidRDefault="00752F86">
            <w:pPr>
              <w:spacing w:after="0" w:line="240" w:lineRule="auto"/>
            </w:pPr>
            <w:r>
              <w:rPr>
                <w:color w:val="333333"/>
                <w:sz w:val="16"/>
              </w:rPr>
              <w:t>For international assignments, will compensation be home-based, host-based, or hybrid/global?</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DD0704E" w14:textId="77777777" w:rsidR="00F5037E" w:rsidRDefault="00F5037E">
            <w:pPr>
              <w:spacing w:after="0" w:line="240" w:lineRule="auto"/>
            </w:pPr>
          </w:p>
        </w:tc>
      </w:tr>
      <w:tr w:rsidR="00F5037E" w14:paraId="04BF9978"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102B408B"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6657D502" w14:textId="77777777" w:rsidR="00F5037E" w:rsidRDefault="00752F86">
            <w:pPr>
              <w:spacing w:after="0" w:line="240" w:lineRule="auto"/>
            </w:pPr>
            <w:r>
              <w:rPr>
                <w:color w:val="333333"/>
                <w:sz w:val="16"/>
              </w:rPr>
              <w:t>Will tax equalization, tax protection, consultation, or filing support be provided?</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5293A220" w14:textId="77777777" w:rsidR="00F5037E" w:rsidRDefault="00F5037E">
            <w:pPr>
              <w:spacing w:after="0" w:line="240" w:lineRule="auto"/>
            </w:pPr>
          </w:p>
        </w:tc>
      </w:tr>
      <w:tr w:rsidR="00F5037E" w14:paraId="5B582CE4"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456F3D07"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785045E" w14:textId="77777777" w:rsidR="00F5037E" w:rsidRDefault="00752F86">
            <w:pPr>
              <w:spacing w:after="0" w:line="240" w:lineRule="auto"/>
            </w:pPr>
            <w:r>
              <w:rPr>
                <w:color w:val="333333"/>
                <w:sz w:val="16"/>
              </w:rPr>
              <w:t>Which housing, cost-of-living, transportation, hardship, danger, or other allowances may apply?</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5056749" w14:textId="77777777" w:rsidR="00F5037E" w:rsidRDefault="00F5037E">
            <w:pPr>
              <w:spacing w:after="0" w:line="240" w:lineRule="auto"/>
            </w:pPr>
          </w:p>
        </w:tc>
      </w:tr>
      <w:tr w:rsidR="00F5037E" w14:paraId="3D50D21C"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60BF0AB5"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1C0AA077" w14:textId="77777777" w:rsidR="00F5037E" w:rsidRDefault="00752F86">
            <w:pPr>
              <w:spacing w:after="0" w:line="240" w:lineRule="auto"/>
            </w:pPr>
            <w:r>
              <w:rPr>
                <w:color w:val="333333"/>
                <w:sz w:val="16"/>
              </w:rPr>
              <w:t>Can home, host, or split payroll deliver the intended design accurately?</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5EBABF7C" w14:textId="77777777" w:rsidR="00F5037E" w:rsidRDefault="00F5037E">
            <w:pPr>
              <w:spacing w:after="0" w:line="240" w:lineRule="auto"/>
            </w:pPr>
          </w:p>
        </w:tc>
      </w:tr>
      <w:tr w:rsidR="00F5037E" w14:paraId="3D848434"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609962BF" w14:textId="77777777" w:rsidR="00D467E4" w:rsidRDefault="00752F86">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776E2CC6" w14:textId="77777777" w:rsidR="00D467E4" w:rsidRDefault="00752F86">
            <w:r>
              <w:rPr>
                <w:color w:val="333333"/>
                <w:sz w:val="16"/>
              </w:rPr>
              <w:t>How will employees be educated about filing obligations and tax consequences, whether or not tax equalization applies?</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58B89DA4" w14:textId="77777777" w:rsidR="00D467E4" w:rsidRDefault="00D467E4"/>
        </w:tc>
      </w:tr>
    </w:tbl>
    <w:p w14:paraId="1FD0A0C0" w14:textId="77777777" w:rsidR="00F5037E" w:rsidRDefault="00F5037E">
      <w:pPr>
        <w:spacing w:after="0"/>
      </w:pPr>
    </w:p>
    <w:p w14:paraId="21B3A1C5" w14:textId="77777777" w:rsidR="00F5037E" w:rsidRDefault="00752F86">
      <w:pPr>
        <w:pStyle w:val="Heading2"/>
        <w:spacing w:before="160" w:after="80"/>
      </w:pPr>
      <w:r>
        <w:rPr>
          <w:rFonts w:ascii="Arial" w:hAnsi="Arial"/>
        </w:rPr>
        <w:t>6. Relocation and family support</w:t>
      </w:r>
    </w:p>
    <w:tbl>
      <w:tblPr>
        <w:tblW w:w="9719" w:type="dxa"/>
        <w:jc w:val="center"/>
        <w:tblLayout w:type="fixed"/>
        <w:tblLook w:val="04A0" w:firstRow="1" w:lastRow="0" w:firstColumn="1" w:lastColumn="0" w:noHBand="0" w:noVBand="1"/>
      </w:tblPr>
      <w:tblGrid>
        <w:gridCol w:w="518"/>
        <w:gridCol w:w="6278"/>
        <w:gridCol w:w="2923"/>
      </w:tblGrid>
      <w:tr w:rsidR="00F5037E" w14:paraId="0E7ABC32"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0351C901"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7398D4F2"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492E40DA" w14:textId="77777777" w:rsidR="00F5037E" w:rsidRDefault="00752F86">
            <w:r>
              <w:rPr>
                <w:b/>
                <w:color w:val="FFFFFF"/>
                <w:sz w:val="16"/>
              </w:rPr>
              <w:t>Decision / owner / notes</w:t>
            </w:r>
          </w:p>
        </w:tc>
      </w:tr>
      <w:tr w:rsidR="00F5037E" w14:paraId="47528481"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15928B34"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31F316D8" w14:textId="77777777" w:rsidR="00F5037E" w:rsidRDefault="00752F86">
            <w:pPr>
              <w:spacing w:after="0" w:line="240" w:lineRule="auto"/>
            </w:pPr>
            <w:r>
              <w:rPr>
                <w:color w:val="333333"/>
                <w:sz w:val="16"/>
              </w:rPr>
              <w:t>Which household-goods, storage, vehicle, pet, or specialty-shipping benefits are needed?</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55C024D9" w14:textId="77777777" w:rsidR="00F5037E" w:rsidRDefault="00F5037E">
            <w:pPr>
              <w:spacing w:after="0" w:line="240" w:lineRule="auto"/>
            </w:pPr>
          </w:p>
        </w:tc>
      </w:tr>
      <w:tr w:rsidR="00F5037E" w14:paraId="7BCF5AF0"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43B22360"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40403E7" w14:textId="77777777" w:rsidR="00F5037E" w:rsidRDefault="00752F86">
            <w:pPr>
              <w:spacing w:after="0" w:line="240" w:lineRule="auto"/>
            </w:pPr>
            <w:r>
              <w:rPr>
                <w:color w:val="333333"/>
                <w:sz w:val="16"/>
              </w:rPr>
              <w:t>Will the program provide home-sale, lease-break, rental, home-finding, home-purchase, or property-management support?</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49166938" w14:textId="77777777" w:rsidR="00F5037E" w:rsidRDefault="00F5037E">
            <w:pPr>
              <w:spacing w:after="0" w:line="240" w:lineRule="auto"/>
            </w:pPr>
          </w:p>
        </w:tc>
      </w:tr>
      <w:tr w:rsidR="00F5037E" w14:paraId="31CFA67B"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5CE0A1F8"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30B29FCE" w14:textId="77777777" w:rsidR="00F5037E" w:rsidRDefault="00752F86">
            <w:pPr>
              <w:spacing w:after="0" w:line="240" w:lineRule="auto"/>
            </w:pPr>
            <w:r>
              <w:rPr>
                <w:color w:val="333333"/>
                <w:sz w:val="16"/>
              </w:rPr>
              <w:t>What temporary-living and final-travel support will apply?</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4FA96D37" w14:textId="77777777" w:rsidR="00F5037E" w:rsidRDefault="00F5037E">
            <w:pPr>
              <w:spacing w:after="0" w:line="240" w:lineRule="auto"/>
            </w:pPr>
          </w:p>
        </w:tc>
      </w:tr>
      <w:tr w:rsidR="00F5037E" w14:paraId="7B940F38"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06328BD0"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C2A56D8" w14:textId="77777777" w:rsidR="00F5037E" w:rsidRDefault="00752F86">
            <w:pPr>
              <w:spacing w:after="0" w:line="240" w:lineRule="auto"/>
            </w:pPr>
            <w:r>
              <w:rPr>
                <w:color w:val="333333"/>
                <w:sz w:val="16"/>
              </w:rPr>
              <w:t>What spouse, partner, school, language, intercultural, or settling-in support is appropriate?</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F5283B8" w14:textId="77777777" w:rsidR="00F5037E" w:rsidRDefault="00F5037E">
            <w:pPr>
              <w:spacing w:after="0" w:line="240" w:lineRule="auto"/>
            </w:pPr>
          </w:p>
        </w:tc>
      </w:tr>
      <w:tr w:rsidR="00F5037E" w14:paraId="43CB2844"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7A18CE54"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24B05771" w14:textId="77777777" w:rsidR="00F5037E" w:rsidRDefault="00752F86">
            <w:pPr>
              <w:spacing w:after="0" w:line="240" w:lineRule="auto"/>
            </w:pPr>
            <w:r>
              <w:rPr>
                <w:color w:val="333333"/>
                <w:sz w:val="16"/>
              </w:rPr>
              <w:t>Which benefits will have dollar, time, weight, distance, or service limits?</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1C174552" w14:textId="77777777" w:rsidR="00F5037E" w:rsidRDefault="00F5037E">
            <w:pPr>
              <w:spacing w:after="0" w:line="240" w:lineRule="auto"/>
            </w:pPr>
          </w:p>
        </w:tc>
      </w:tr>
      <w:tr w:rsidR="00F5037E" w14:paraId="725C3D54"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63D48B7F"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BF87C52" w14:textId="77777777" w:rsidR="00F5037E" w:rsidRDefault="00752F86">
            <w:pPr>
              <w:spacing w:after="0" w:line="240" w:lineRule="auto"/>
            </w:pPr>
            <w:r>
              <w:rPr>
                <w:color w:val="333333"/>
                <w:sz w:val="16"/>
              </w:rPr>
              <w:t>What documentation, tax treatment, supplier use, or employee co-payment will apply?</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6C6594A" w14:textId="77777777" w:rsidR="00F5037E" w:rsidRDefault="00F5037E">
            <w:pPr>
              <w:spacing w:after="0" w:line="240" w:lineRule="auto"/>
            </w:pPr>
          </w:p>
        </w:tc>
      </w:tr>
      <w:tr w:rsidR="00F5037E" w14:paraId="7F85442F"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57A9AA5D"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22F98C87" w14:textId="77777777" w:rsidR="00F5037E" w:rsidRDefault="00752F86">
            <w:pPr>
              <w:spacing w:after="0" w:line="240" w:lineRule="auto"/>
            </w:pPr>
            <w:r>
              <w:rPr>
                <w:color w:val="333333"/>
                <w:sz w:val="16"/>
              </w:rPr>
              <w:t>Has the benefit design been tested for renters and homeowners, single employees, spouses or partners, dual-career households, employees with disabilities, caregivers, and families whose legal recognition or safety differs by destination?</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5A90C93E" w14:textId="77777777" w:rsidR="00F5037E" w:rsidRDefault="00F5037E">
            <w:pPr>
              <w:spacing w:after="0" w:line="240" w:lineRule="auto"/>
            </w:pPr>
          </w:p>
        </w:tc>
      </w:tr>
    </w:tbl>
    <w:p w14:paraId="3695B829" w14:textId="77777777" w:rsidR="00F5037E" w:rsidRDefault="00F5037E">
      <w:pPr>
        <w:spacing w:after="0"/>
      </w:pPr>
    </w:p>
    <w:p w14:paraId="28C6C4C1" w14:textId="77777777" w:rsidR="00F5037E" w:rsidRDefault="00752F86">
      <w:pPr>
        <w:pStyle w:val="Heading2"/>
        <w:spacing w:before="160" w:after="80"/>
      </w:pPr>
      <w:r>
        <w:rPr>
          <w:rFonts w:ascii="Arial" w:hAnsi="Arial"/>
        </w:rPr>
        <w:t>7. Legal, tax, immigration, and compliance</w:t>
      </w:r>
    </w:p>
    <w:tbl>
      <w:tblPr>
        <w:tblW w:w="9719" w:type="dxa"/>
        <w:jc w:val="center"/>
        <w:tblLayout w:type="fixed"/>
        <w:tblLook w:val="04A0" w:firstRow="1" w:lastRow="0" w:firstColumn="1" w:lastColumn="0" w:noHBand="0" w:noVBand="1"/>
      </w:tblPr>
      <w:tblGrid>
        <w:gridCol w:w="518"/>
        <w:gridCol w:w="6278"/>
        <w:gridCol w:w="2923"/>
      </w:tblGrid>
      <w:tr w:rsidR="00F5037E" w14:paraId="09C8397F"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6C76DB01"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26BCACBA"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2F3B1CAF" w14:textId="77777777" w:rsidR="00F5037E" w:rsidRDefault="00752F86">
            <w:r>
              <w:rPr>
                <w:b/>
                <w:color w:val="FFFFFF"/>
                <w:sz w:val="16"/>
              </w:rPr>
              <w:t>Decision / owner / notes</w:t>
            </w:r>
          </w:p>
        </w:tc>
      </w:tr>
      <w:tr w:rsidR="00F5037E" w14:paraId="34F14416"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61528165"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353AEBBD" w14:textId="77777777" w:rsidR="00F5037E" w:rsidRDefault="00752F86">
            <w:pPr>
              <w:spacing w:after="0" w:line="240" w:lineRule="auto"/>
            </w:pPr>
            <w:r>
              <w:rPr>
                <w:color w:val="333333"/>
                <w:sz w:val="16"/>
              </w:rPr>
              <w:t>When is immigration review mandatory, and who initiates it?</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307288A7" w14:textId="77777777" w:rsidR="00F5037E" w:rsidRDefault="00F5037E">
            <w:pPr>
              <w:spacing w:after="0" w:line="240" w:lineRule="auto"/>
            </w:pPr>
          </w:p>
        </w:tc>
      </w:tr>
      <w:tr w:rsidR="00F5037E" w14:paraId="67AB2C0F"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26CDDC88"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42920D65" w14:textId="77777777" w:rsidR="00F5037E" w:rsidRDefault="00752F86">
            <w:pPr>
              <w:spacing w:after="0" w:line="240" w:lineRule="auto"/>
            </w:pPr>
            <w:r>
              <w:rPr>
                <w:color w:val="333333"/>
                <w:sz w:val="16"/>
              </w:rPr>
              <w:t>When are individual tax, payroll, social-insurance, or employment-law reviews required?</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818BA2C" w14:textId="77777777" w:rsidR="00F5037E" w:rsidRDefault="00F5037E">
            <w:pPr>
              <w:spacing w:after="0" w:line="240" w:lineRule="auto"/>
            </w:pPr>
          </w:p>
        </w:tc>
      </w:tr>
      <w:tr w:rsidR="00F5037E" w14:paraId="24C0181D"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2CC621E1"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480E73D4" w14:textId="77777777" w:rsidR="00F5037E" w:rsidRDefault="00752F86">
            <w:pPr>
              <w:spacing w:after="0" w:line="240" w:lineRule="auto"/>
            </w:pPr>
            <w:r>
              <w:rPr>
                <w:color w:val="333333"/>
                <w:sz w:val="16"/>
              </w:rPr>
              <w:t>How will remote work, commuter arrangements, or business travel be assessed before work begins?</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6D7E639B" w14:textId="77777777" w:rsidR="00F5037E" w:rsidRDefault="00F5037E">
            <w:pPr>
              <w:spacing w:after="0" w:line="240" w:lineRule="auto"/>
            </w:pPr>
          </w:p>
        </w:tc>
      </w:tr>
      <w:tr w:rsidR="00F5037E" w14:paraId="6810FD4C"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7869CC1A"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DC7EACC" w14:textId="77777777" w:rsidR="00F5037E" w:rsidRDefault="00752F86">
            <w:pPr>
              <w:spacing w:after="0" w:line="240" w:lineRule="auto"/>
            </w:pPr>
            <w:r>
              <w:rPr>
                <w:color w:val="333333"/>
                <w:sz w:val="16"/>
              </w:rPr>
              <w:t>Who can accept or reject identified compliance risk?</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49875692" w14:textId="77777777" w:rsidR="00F5037E" w:rsidRDefault="00F5037E">
            <w:pPr>
              <w:spacing w:after="0" w:line="240" w:lineRule="auto"/>
            </w:pPr>
          </w:p>
        </w:tc>
      </w:tr>
      <w:tr w:rsidR="00F5037E" w14:paraId="1603A82A"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6ED239C7"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11FF7A16" w14:textId="77777777" w:rsidR="00F5037E" w:rsidRDefault="00752F86">
            <w:pPr>
              <w:spacing w:after="0" w:line="240" w:lineRule="auto"/>
            </w:pPr>
            <w:r>
              <w:rPr>
                <w:color w:val="333333"/>
                <w:sz w:val="16"/>
              </w:rPr>
              <w:t>What employee responsibilities and consequences for noncompliance will be documented?</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10FB5BF6" w14:textId="77777777" w:rsidR="00F5037E" w:rsidRDefault="00F5037E">
            <w:pPr>
              <w:spacing w:after="0" w:line="240" w:lineRule="auto"/>
            </w:pPr>
          </w:p>
        </w:tc>
      </w:tr>
      <w:tr w:rsidR="00F5037E" w14:paraId="15571801"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255704CA"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65F6F56" w14:textId="77777777" w:rsidR="00F5037E" w:rsidRDefault="00752F86">
            <w:pPr>
              <w:spacing w:after="0" w:line="240" w:lineRule="auto"/>
            </w:pPr>
            <w:r>
              <w:rPr>
                <w:color w:val="333333"/>
                <w:sz w:val="16"/>
              </w:rPr>
              <w:t>How will the organization track renewals, registrations, filings, and assignment end dates?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663EE153" w14:textId="77777777" w:rsidR="00F5037E" w:rsidRDefault="00F5037E">
            <w:pPr>
              <w:spacing w:after="0" w:line="240" w:lineRule="auto"/>
            </w:pPr>
          </w:p>
        </w:tc>
      </w:tr>
      <w:tr w:rsidR="00F5037E" w14:paraId="1F902ED4"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vAlign w:val="center"/>
          </w:tcPr>
          <w:p w14:paraId="49409297"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4D44757C" w14:textId="77777777" w:rsidR="00F5037E" w:rsidRDefault="00752F86">
            <w:pPr>
              <w:spacing w:after="0" w:line="240" w:lineRule="auto"/>
            </w:pPr>
            <w:r>
              <w:rPr>
                <w:color w:val="333333"/>
                <w:sz w:val="16"/>
              </w:rPr>
              <w:t>When is a location-specific security, medical, or duty-of-care assessment required?</w:t>
            </w:r>
          </w:p>
        </w:tc>
        <w:tc>
          <w:tcPr>
            <w:tcW w:w="2923" w:type="dxa"/>
            <w:tcBorders>
              <w:top w:val="single" w:sz="4" w:space="0" w:color="B7C3D0"/>
              <w:left w:val="single" w:sz="4" w:space="0" w:color="B7C3D0"/>
              <w:bottom w:val="single" w:sz="4" w:space="0" w:color="B7C3D0"/>
              <w:right w:val="single" w:sz="4" w:space="0" w:color="B7C3D0"/>
            </w:tcBorders>
            <w:shd w:val="clear" w:color="auto" w:fill="FFFFFF"/>
            <w:tcMar>
              <w:top w:w="75" w:type="dxa"/>
              <w:left w:w="80" w:type="dxa"/>
              <w:bottom w:w="75" w:type="dxa"/>
              <w:right w:w="80" w:type="dxa"/>
            </w:tcMar>
          </w:tcPr>
          <w:p w14:paraId="565BEC97" w14:textId="77777777" w:rsidR="00F5037E" w:rsidRDefault="00F5037E">
            <w:pPr>
              <w:spacing w:after="0" w:line="240" w:lineRule="auto"/>
            </w:pPr>
          </w:p>
        </w:tc>
      </w:tr>
      <w:tr w:rsidR="00F5037E" w14:paraId="125A3E47"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796149E9"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45D7A1D" w14:textId="77777777" w:rsidR="00F5037E" w:rsidRDefault="00752F86">
            <w:pPr>
              <w:spacing w:after="0" w:line="240" w:lineRule="auto"/>
            </w:pPr>
            <w:r>
              <w:rPr>
                <w:color w:val="333333"/>
                <w:sz w:val="16"/>
              </w:rPr>
              <w:t>Who owns emergency communication, crisis response, evacuation or repatriation support, and protection of employee location data and devices?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12277CA" w14:textId="77777777" w:rsidR="00F5037E" w:rsidRDefault="00F5037E">
            <w:pPr>
              <w:spacing w:after="0" w:line="240" w:lineRule="auto"/>
            </w:pPr>
          </w:p>
        </w:tc>
      </w:tr>
    </w:tbl>
    <w:p w14:paraId="2B13DE9E" w14:textId="77777777" w:rsidR="00F5037E" w:rsidRDefault="00F5037E">
      <w:pPr>
        <w:spacing w:after="0"/>
      </w:pPr>
    </w:p>
    <w:p w14:paraId="34502F69" w14:textId="77777777" w:rsidR="00F5037E" w:rsidRDefault="00752F86">
      <w:pPr>
        <w:pStyle w:val="Heading2"/>
        <w:spacing w:before="160" w:after="80"/>
      </w:pPr>
      <w:r>
        <w:rPr>
          <w:rFonts w:ascii="Arial" w:hAnsi="Arial"/>
        </w:rPr>
        <w:t>8. Governance, administration, and suppliers</w:t>
      </w:r>
    </w:p>
    <w:tbl>
      <w:tblPr>
        <w:tblW w:w="9719" w:type="dxa"/>
        <w:jc w:val="center"/>
        <w:tblLayout w:type="fixed"/>
        <w:tblLook w:val="04A0" w:firstRow="1" w:lastRow="0" w:firstColumn="1" w:lastColumn="0" w:noHBand="0" w:noVBand="1"/>
      </w:tblPr>
      <w:tblGrid>
        <w:gridCol w:w="518"/>
        <w:gridCol w:w="6278"/>
        <w:gridCol w:w="2923"/>
      </w:tblGrid>
      <w:tr w:rsidR="00F5037E" w14:paraId="56554531"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0337AB16"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09AB199A"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0401DBAE" w14:textId="77777777" w:rsidR="00F5037E" w:rsidRDefault="00752F86">
            <w:r>
              <w:rPr>
                <w:b/>
                <w:color w:val="FFFFFF"/>
                <w:sz w:val="16"/>
              </w:rPr>
              <w:t>Decision / owner / notes</w:t>
            </w:r>
          </w:p>
        </w:tc>
      </w:tr>
      <w:tr w:rsidR="00F5037E" w14:paraId="7A34B085"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204C5314"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2B1BF6E4" w14:textId="77777777" w:rsidR="00F5037E" w:rsidRDefault="00752F86">
            <w:pPr>
              <w:spacing w:after="0" w:line="240" w:lineRule="auto"/>
            </w:pPr>
            <w:r>
              <w:rPr>
                <w:color w:val="333333"/>
                <w:sz w:val="16"/>
              </w:rPr>
              <w:t>Who owns the policy and has authority to interpret it?</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ADB4D63" w14:textId="77777777" w:rsidR="00F5037E" w:rsidRDefault="00F5037E">
            <w:pPr>
              <w:spacing w:after="0" w:line="240" w:lineRule="auto"/>
            </w:pPr>
          </w:p>
        </w:tc>
      </w:tr>
      <w:tr w:rsidR="00F5037E" w14:paraId="0592B256"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5264CB56"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FD9872B" w14:textId="77777777" w:rsidR="00F5037E" w:rsidRDefault="00752F86">
            <w:pPr>
              <w:spacing w:after="0" w:line="240" w:lineRule="auto"/>
            </w:pPr>
            <w:r>
              <w:rPr>
                <w:color w:val="333333"/>
                <w:sz w:val="16"/>
              </w:rPr>
              <w:t>Who approves moves and exceptions?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7237029" w14:textId="77777777" w:rsidR="00F5037E" w:rsidRDefault="00F5037E">
            <w:pPr>
              <w:spacing w:after="0" w:line="240" w:lineRule="auto"/>
            </w:pPr>
          </w:p>
        </w:tc>
      </w:tr>
      <w:tr w:rsidR="00F5037E" w14:paraId="450AFBE5"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67D02DC2"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878653C" w14:textId="77777777" w:rsidR="00F5037E" w:rsidRDefault="00752F86">
            <w:pPr>
              <w:spacing w:after="0" w:line="240" w:lineRule="auto"/>
            </w:pPr>
            <w:r>
              <w:rPr>
                <w:color w:val="333333"/>
                <w:sz w:val="16"/>
              </w:rPr>
              <w:t>Which activities will be handled internally, outsourced, or delivered through a hybrid model?</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DD08F00" w14:textId="77777777" w:rsidR="00F5037E" w:rsidRDefault="00F5037E">
            <w:pPr>
              <w:spacing w:after="0" w:line="240" w:lineRule="auto"/>
            </w:pPr>
          </w:p>
        </w:tc>
      </w:tr>
      <w:tr w:rsidR="00F5037E" w14:paraId="4ACCAF28"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516E54A3"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0B1BFE5" w14:textId="77777777" w:rsidR="00F5037E" w:rsidRDefault="00752F86">
            <w:pPr>
              <w:spacing w:after="0" w:line="240" w:lineRule="auto"/>
            </w:pPr>
            <w:r>
              <w:rPr>
                <w:color w:val="333333"/>
                <w:sz w:val="16"/>
              </w:rPr>
              <w:t>Which suppliers are required in the relevant geographies?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E1B5D08" w14:textId="77777777" w:rsidR="00F5037E" w:rsidRDefault="00F5037E">
            <w:pPr>
              <w:spacing w:after="0" w:line="240" w:lineRule="auto"/>
            </w:pPr>
          </w:p>
        </w:tc>
      </w:tr>
      <w:tr w:rsidR="00F5037E" w14:paraId="455D6599"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296874AA"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27505D26" w14:textId="77777777" w:rsidR="00F5037E" w:rsidRDefault="00752F86">
            <w:pPr>
              <w:spacing w:after="0" w:line="240" w:lineRule="auto"/>
            </w:pPr>
            <w:r>
              <w:rPr>
                <w:color w:val="333333"/>
                <w:sz w:val="16"/>
              </w:rPr>
              <w:t>What service standards, escalation paths, and data responsibilities will apply?</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511247E8" w14:textId="77777777" w:rsidR="00F5037E" w:rsidRDefault="00F5037E">
            <w:pPr>
              <w:spacing w:after="0" w:line="240" w:lineRule="auto"/>
            </w:pPr>
          </w:p>
        </w:tc>
      </w:tr>
      <w:tr w:rsidR="00F5037E" w14:paraId="3ABB0FAA"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2B0F8203"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CFB885B" w14:textId="77777777" w:rsidR="00F5037E" w:rsidRDefault="00752F86">
            <w:pPr>
              <w:spacing w:after="0" w:line="240" w:lineRule="auto"/>
            </w:pPr>
            <w:r>
              <w:rPr>
                <w:color w:val="333333"/>
                <w:sz w:val="16"/>
              </w:rPr>
              <w:t>How will managers, HR, Finance, Payroll, Tax, Legal, and vendors coordinate?</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8AAC7AD" w14:textId="77777777" w:rsidR="00F5037E" w:rsidRDefault="00F5037E">
            <w:pPr>
              <w:spacing w:after="0" w:line="240" w:lineRule="auto"/>
            </w:pPr>
          </w:p>
        </w:tc>
      </w:tr>
      <w:tr w:rsidR="00F5037E" w14:paraId="3234D86C"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3554C21A" w14:textId="77777777" w:rsidR="00D467E4" w:rsidRDefault="00752F86">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0FA73504" w14:textId="77777777" w:rsidR="00D467E4" w:rsidRDefault="00752F86">
            <w:r>
              <w:rPr>
                <w:color w:val="333333"/>
                <w:sz w:val="16"/>
              </w:rPr>
              <w:t>Have business leaders, corporate and regional HR, Finance/CFO, Compliance, Legal, Payroll, HR Operations, Total Rewards, and - where third-party delivery is involved - Procurement participated in policy design?</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CA99E91" w14:textId="77777777" w:rsidR="00D467E4" w:rsidRDefault="00D467E4"/>
        </w:tc>
      </w:tr>
    </w:tbl>
    <w:p w14:paraId="305F8678" w14:textId="77777777" w:rsidR="00F5037E" w:rsidRDefault="00F5037E">
      <w:pPr>
        <w:spacing w:after="0"/>
      </w:pPr>
    </w:p>
    <w:p w14:paraId="5BB67E43" w14:textId="77777777" w:rsidR="00F5037E" w:rsidRDefault="00752F86">
      <w:pPr>
        <w:pStyle w:val="Heading2"/>
        <w:spacing w:before="160" w:after="80"/>
      </w:pPr>
      <w:r>
        <w:rPr>
          <w:rFonts w:ascii="Arial" w:hAnsi="Arial"/>
        </w:rPr>
        <w:t>9. Technology, data, and communication</w:t>
      </w:r>
    </w:p>
    <w:tbl>
      <w:tblPr>
        <w:tblW w:w="9719" w:type="dxa"/>
        <w:jc w:val="center"/>
        <w:tblLayout w:type="fixed"/>
        <w:tblLook w:val="04A0" w:firstRow="1" w:lastRow="0" w:firstColumn="1" w:lastColumn="0" w:noHBand="0" w:noVBand="1"/>
      </w:tblPr>
      <w:tblGrid>
        <w:gridCol w:w="518"/>
        <w:gridCol w:w="6278"/>
        <w:gridCol w:w="2923"/>
      </w:tblGrid>
      <w:tr w:rsidR="00F5037E" w14:paraId="333D4FDD"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0316B3EC"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19012793"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5C57E6C7" w14:textId="77777777" w:rsidR="00F5037E" w:rsidRDefault="00752F86">
            <w:r>
              <w:rPr>
                <w:b/>
                <w:color w:val="FFFFFF"/>
                <w:sz w:val="16"/>
              </w:rPr>
              <w:t>Decision / owner / notes</w:t>
            </w:r>
          </w:p>
        </w:tc>
      </w:tr>
      <w:tr w:rsidR="00F5037E" w14:paraId="1F286B77"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522D9685"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9F43FDD" w14:textId="77777777" w:rsidR="00F5037E" w:rsidRDefault="00752F86">
            <w:pPr>
              <w:spacing w:after="0" w:line="240" w:lineRule="auto"/>
            </w:pPr>
            <w:r>
              <w:rPr>
                <w:color w:val="333333"/>
                <w:sz w:val="16"/>
              </w:rPr>
              <w:t>What system or workflow will initiate, approve, and track moves?</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A42C910" w14:textId="77777777" w:rsidR="00F5037E" w:rsidRDefault="00F5037E">
            <w:pPr>
              <w:spacing w:after="0" w:line="240" w:lineRule="auto"/>
            </w:pPr>
          </w:p>
        </w:tc>
      </w:tr>
      <w:tr w:rsidR="00F5037E" w14:paraId="3DAA350C"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6CAF8959"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535025C" w14:textId="77777777" w:rsidR="00F5037E" w:rsidRDefault="00752F86">
            <w:pPr>
              <w:spacing w:after="0" w:line="240" w:lineRule="auto"/>
            </w:pPr>
            <w:r>
              <w:rPr>
                <w:color w:val="333333"/>
                <w:sz w:val="16"/>
              </w:rPr>
              <w:t>How will employee data be secured and shared with suppliers?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DA853F7" w14:textId="77777777" w:rsidR="00F5037E" w:rsidRDefault="00F5037E">
            <w:pPr>
              <w:spacing w:after="0" w:line="240" w:lineRule="auto"/>
            </w:pPr>
          </w:p>
        </w:tc>
      </w:tr>
      <w:tr w:rsidR="00F5037E" w14:paraId="3251B80A"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45C1F330"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3C9B4C82" w14:textId="77777777" w:rsidR="00F5037E" w:rsidRDefault="00752F86">
            <w:pPr>
              <w:spacing w:after="0" w:line="240" w:lineRule="auto"/>
            </w:pPr>
            <w:r>
              <w:rPr>
                <w:color w:val="333333"/>
                <w:sz w:val="16"/>
              </w:rPr>
              <w:t>How will payroll instructions, reimbursements, invoices, and accruals be controlled?</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2CD2E96D" w14:textId="77777777" w:rsidR="00F5037E" w:rsidRDefault="00F5037E">
            <w:pPr>
              <w:spacing w:after="0" w:line="240" w:lineRule="auto"/>
            </w:pPr>
          </w:p>
        </w:tc>
      </w:tr>
      <w:tr w:rsidR="00F5037E" w14:paraId="177CF54A"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040E2F61"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F3C4440" w14:textId="77777777" w:rsidR="00F5037E" w:rsidRDefault="00752F86">
            <w:pPr>
              <w:spacing w:after="0" w:line="240" w:lineRule="auto"/>
            </w:pPr>
            <w:r>
              <w:rPr>
                <w:color w:val="333333"/>
                <w:sz w:val="16"/>
              </w:rPr>
              <w:t>What reports do HR, Finance, leaders, and auditors need?</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61324F1" w14:textId="77777777" w:rsidR="00F5037E" w:rsidRDefault="00F5037E">
            <w:pPr>
              <w:spacing w:after="0" w:line="240" w:lineRule="auto"/>
            </w:pPr>
          </w:p>
        </w:tc>
      </w:tr>
      <w:tr w:rsidR="00F5037E" w14:paraId="7827A98E"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2FDAD327"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8E34CA4" w14:textId="77777777" w:rsidR="00F5037E" w:rsidRDefault="00752F86">
            <w:pPr>
              <w:spacing w:after="0" w:line="240" w:lineRule="auto"/>
            </w:pPr>
            <w:r>
              <w:rPr>
                <w:color w:val="333333"/>
                <w:sz w:val="16"/>
              </w:rPr>
              <w:t>How will employees and managers receive policy guidance and case-specific instructions?</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430028BD" w14:textId="77777777" w:rsidR="00F5037E" w:rsidRDefault="00F5037E">
            <w:pPr>
              <w:spacing w:after="0" w:line="240" w:lineRule="auto"/>
            </w:pPr>
          </w:p>
        </w:tc>
      </w:tr>
      <w:tr w:rsidR="00F5037E" w14:paraId="3AA35753"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24A0B70E"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449B6156" w14:textId="77777777" w:rsidR="00F5037E" w:rsidRDefault="00752F86">
            <w:pPr>
              <w:spacing w:after="0" w:line="240" w:lineRule="auto"/>
            </w:pPr>
            <w:r>
              <w:rPr>
                <w:color w:val="333333"/>
                <w:sz w:val="16"/>
              </w:rPr>
              <w:t>Who will answer employee questions and prevent informal promises that conflict with policy?</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17F20480" w14:textId="77777777" w:rsidR="00F5037E" w:rsidRDefault="00F5037E">
            <w:pPr>
              <w:spacing w:after="0" w:line="240" w:lineRule="auto"/>
            </w:pPr>
          </w:p>
        </w:tc>
      </w:tr>
    </w:tbl>
    <w:p w14:paraId="2759E72B" w14:textId="77777777" w:rsidR="00F5037E" w:rsidRDefault="00F5037E">
      <w:pPr>
        <w:spacing w:after="0"/>
      </w:pPr>
    </w:p>
    <w:p w14:paraId="3F061232" w14:textId="77777777" w:rsidR="00F5037E" w:rsidRDefault="00752F86">
      <w:pPr>
        <w:pStyle w:val="Heading2"/>
        <w:spacing w:before="160" w:after="80"/>
      </w:pPr>
      <w:r>
        <w:rPr>
          <w:rFonts w:ascii="Arial" w:hAnsi="Arial"/>
        </w:rPr>
        <w:t>10. Implementation and measurement</w:t>
      </w:r>
    </w:p>
    <w:tbl>
      <w:tblPr>
        <w:tblW w:w="9719" w:type="dxa"/>
        <w:jc w:val="center"/>
        <w:tblLayout w:type="fixed"/>
        <w:tblLook w:val="04A0" w:firstRow="1" w:lastRow="0" w:firstColumn="1" w:lastColumn="0" w:noHBand="0" w:noVBand="1"/>
      </w:tblPr>
      <w:tblGrid>
        <w:gridCol w:w="518"/>
        <w:gridCol w:w="6278"/>
        <w:gridCol w:w="2923"/>
      </w:tblGrid>
      <w:tr w:rsidR="00F5037E" w14:paraId="25F91071" w14:textId="77777777">
        <w:trPr>
          <w:cantSplit/>
          <w:tblHeader/>
          <w:jc w:val="center"/>
        </w:trPr>
        <w:tc>
          <w:tcPr>
            <w:tcW w:w="51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66F4DD21" w14:textId="77777777" w:rsidR="00F5037E" w:rsidRDefault="00752F86">
            <w:r>
              <w:rPr>
                <w:b/>
                <w:color w:val="FFFFFF"/>
                <w:sz w:val="16"/>
              </w:rPr>
              <w:t>✓</w:t>
            </w:r>
          </w:p>
        </w:tc>
        <w:tc>
          <w:tcPr>
            <w:tcW w:w="6278"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5AD43A71" w14:textId="77777777" w:rsidR="00F5037E" w:rsidRDefault="00752F86">
            <w:r>
              <w:rPr>
                <w:b/>
                <w:color w:val="FFFFFF"/>
                <w:sz w:val="16"/>
              </w:rPr>
              <w:t>Decision question</w:t>
            </w:r>
          </w:p>
        </w:tc>
        <w:tc>
          <w:tcPr>
            <w:tcW w:w="2923" w:type="dxa"/>
            <w:tcBorders>
              <w:top w:val="single" w:sz="4" w:space="0" w:color="B7C3D0"/>
              <w:left w:val="single" w:sz="4" w:space="0" w:color="B7C3D0"/>
              <w:bottom w:val="single" w:sz="4" w:space="0" w:color="B7C3D0"/>
              <w:right w:val="single" w:sz="4" w:space="0" w:color="B7C3D0"/>
            </w:tcBorders>
            <w:shd w:val="clear" w:color="auto" w:fill="1D2754"/>
            <w:tcMar>
              <w:top w:w="75" w:type="dxa"/>
              <w:left w:w="80" w:type="dxa"/>
              <w:bottom w:w="75" w:type="dxa"/>
              <w:right w:w="80" w:type="dxa"/>
            </w:tcMar>
          </w:tcPr>
          <w:p w14:paraId="1AD2D9C5" w14:textId="77777777" w:rsidR="00F5037E" w:rsidRDefault="00752F86">
            <w:r>
              <w:rPr>
                <w:b/>
                <w:color w:val="FFFFFF"/>
                <w:sz w:val="16"/>
              </w:rPr>
              <w:t>Decision / owner / notes</w:t>
            </w:r>
          </w:p>
        </w:tc>
      </w:tr>
      <w:tr w:rsidR="00F5037E" w14:paraId="784A1E7C"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5EF88987"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FC0EF02" w14:textId="77777777" w:rsidR="00F5037E" w:rsidRDefault="00752F86">
            <w:pPr>
              <w:spacing w:after="0" w:line="240" w:lineRule="auto"/>
            </w:pPr>
            <w:r>
              <w:rPr>
                <w:color w:val="333333"/>
                <w:sz w:val="16"/>
              </w:rPr>
              <w:t>Which realistic employee scenarios will be used to test the draft?</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279E204E" w14:textId="77777777" w:rsidR="00F5037E" w:rsidRDefault="00F5037E">
            <w:pPr>
              <w:spacing w:after="0" w:line="240" w:lineRule="auto"/>
            </w:pPr>
          </w:p>
        </w:tc>
      </w:tr>
      <w:tr w:rsidR="00F5037E" w14:paraId="12826EA8"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4E806632"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EDD5C6A" w14:textId="77777777" w:rsidR="00F5037E" w:rsidRDefault="00752F86">
            <w:pPr>
              <w:spacing w:after="0" w:line="240" w:lineRule="auto"/>
            </w:pPr>
            <w:r>
              <w:rPr>
                <w:color w:val="333333"/>
                <w:sz w:val="16"/>
              </w:rPr>
              <w:t>What training is required for HR, recruiters, managers, Payroll, and suppliers?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7D2F1696" w14:textId="77777777" w:rsidR="00F5037E" w:rsidRDefault="00F5037E">
            <w:pPr>
              <w:spacing w:after="0" w:line="240" w:lineRule="auto"/>
            </w:pPr>
          </w:p>
        </w:tc>
      </w:tr>
      <w:tr w:rsidR="00F5037E" w14:paraId="65C40AD9"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30DBE7BE"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7F562D26" w14:textId="77777777" w:rsidR="00F5037E" w:rsidRDefault="00752F86">
            <w:pPr>
              <w:spacing w:after="0" w:line="240" w:lineRule="auto"/>
            </w:pPr>
            <w:r>
              <w:rPr>
                <w:color w:val="333333"/>
                <w:sz w:val="16"/>
              </w:rPr>
              <w:t>How will existing employees or legacy arrangements transition to the new policy?</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280F15CC" w14:textId="77777777" w:rsidR="00F5037E" w:rsidRDefault="00F5037E">
            <w:pPr>
              <w:spacing w:after="0" w:line="240" w:lineRule="auto"/>
            </w:pPr>
          </w:p>
        </w:tc>
      </w:tr>
      <w:tr w:rsidR="00F5037E" w14:paraId="3CE117C1"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2CE11B92"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52EB89BA" w14:textId="77777777" w:rsidR="00F5037E" w:rsidRDefault="00752F86">
            <w:pPr>
              <w:spacing w:after="0" w:line="240" w:lineRule="auto"/>
            </w:pPr>
            <w:r>
              <w:rPr>
                <w:color w:val="333333"/>
                <w:sz w:val="16"/>
              </w:rPr>
              <w:t>Which measures will indicate success: acceptance, completion, cost predictability, exceptions, employee experience, retention, or business outcome?</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310F8EAC" w14:textId="77777777" w:rsidR="00F5037E" w:rsidRDefault="00F5037E">
            <w:pPr>
              <w:spacing w:after="0" w:line="240" w:lineRule="auto"/>
            </w:pPr>
          </w:p>
        </w:tc>
      </w:tr>
      <w:tr w:rsidR="00F5037E" w14:paraId="1C95CEE9"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vAlign w:val="center"/>
          </w:tcPr>
          <w:p w14:paraId="22591497"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4E77B7A7" w14:textId="77777777" w:rsidR="00F5037E" w:rsidRDefault="00752F86">
            <w:pPr>
              <w:spacing w:after="0" w:line="240" w:lineRule="auto"/>
            </w:pPr>
            <w:r>
              <w:rPr>
                <w:color w:val="333333"/>
                <w:sz w:val="16"/>
              </w:rPr>
              <w:t>How often will the policy, supplier model, and market data be reviewed?</w:t>
            </w:r>
          </w:p>
        </w:tc>
        <w:tc>
          <w:tcPr>
            <w:tcW w:w="2923" w:type="dxa"/>
            <w:tcBorders>
              <w:top w:val="single" w:sz="4" w:space="0" w:color="B7C3D0"/>
              <w:left w:val="single" w:sz="4" w:space="0" w:color="B7C3D0"/>
              <w:bottom w:val="single" w:sz="4" w:space="0" w:color="B7C3D0"/>
              <w:right w:val="single" w:sz="4" w:space="0" w:color="B7C3D0"/>
            </w:tcBorders>
            <w:tcMar>
              <w:top w:w="75" w:type="dxa"/>
              <w:left w:w="80" w:type="dxa"/>
              <w:bottom w:w="75" w:type="dxa"/>
              <w:right w:w="80" w:type="dxa"/>
            </w:tcMar>
          </w:tcPr>
          <w:p w14:paraId="61CD507E" w14:textId="77777777" w:rsidR="00F5037E" w:rsidRDefault="00F5037E">
            <w:pPr>
              <w:spacing w:after="0" w:line="240" w:lineRule="auto"/>
            </w:pPr>
          </w:p>
        </w:tc>
      </w:tr>
      <w:tr w:rsidR="00F5037E" w14:paraId="5950B91C" w14:textId="77777777">
        <w:trPr>
          <w:cantSplit/>
          <w:trHeight w:val="620"/>
          <w:jc w:val="center"/>
        </w:trPr>
        <w:tc>
          <w:tcPr>
            <w:tcW w:w="51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vAlign w:val="center"/>
          </w:tcPr>
          <w:p w14:paraId="3A2F9204" w14:textId="77777777" w:rsidR="00F5037E" w:rsidRDefault="00752F86">
            <w:pPr>
              <w:spacing w:after="0" w:line="240" w:lineRule="auto"/>
              <w:jc w:val="center"/>
            </w:pPr>
            <w:r>
              <w:rPr>
                <w:color w:val="4472C4"/>
                <w:sz w:val="20"/>
              </w:rPr>
              <w:t>☐</w:t>
            </w:r>
          </w:p>
        </w:tc>
        <w:tc>
          <w:tcPr>
            <w:tcW w:w="6278"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4E018755" w14:textId="77777777" w:rsidR="00F5037E" w:rsidRDefault="00752F86">
            <w:pPr>
              <w:spacing w:after="0" w:line="240" w:lineRule="auto"/>
            </w:pPr>
            <w:r>
              <w:rPr>
                <w:color w:val="333333"/>
                <w:sz w:val="16"/>
              </w:rPr>
              <w:t>What process will be used to identify patterns, approve changes, and communicate revisions?</w:t>
            </w:r>
          </w:p>
        </w:tc>
        <w:tc>
          <w:tcPr>
            <w:tcW w:w="2923" w:type="dxa"/>
            <w:tcBorders>
              <w:top w:val="single" w:sz="4" w:space="0" w:color="B7C3D0"/>
              <w:left w:val="single" w:sz="4" w:space="0" w:color="B7C3D0"/>
              <w:bottom w:val="single" w:sz="4" w:space="0" w:color="B7C3D0"/>
              <w:right w:val="single" w:sz="4" w:space="0" w:color="B7C3D0"/>
            </w:tcBorders>
            <w:shd w:val="clear" w:color="auto" w:fill="F4F8FC"/>
            <w:tcMar>
              <w:top w:w="75" w:type="dxa"/>
              <w:left w:w="80" w:type="dxa"/>
              <w:bottom w:w="75" w:type="dxa"/>
              <w:right w:w="80" w:type="dxa"/>
            </w:tcMar>
          </w:tcPr>
          <w:p w14:paraId="2BB1A697" w14:textId="77777777" w:rsidR="00F5037E" w:rsidRDefault="00F5037E">
            <w:pPr>
              <w:spacing w:after="0" w:line="240" w:lineRule="auto"/>
            </w:pPr>
          </w:p>
        </w:tc>
      </w:tr>
    </w:tbl>
    <w:p w14:paraId="08DA413D" w14:textId="77777777" w:rsidR="00F5037E" w:rsidRDefault="00752F86">
      <w:pPr>
        <w:pStyle w:val="Heading1"/>
        <w:pageBreakBefore/>
        <w:spacing w:after="200"/>
      </w:pPr>
      <w:r>
        <w:rPr>
          <w:rFonts w:ascii="Arial" w:hAnsi="Arial"/>
          <w:sz w:val="44"/>
        </w:rPr>
        <w:t>About the Author</w:t>
      </w:r>
    </w:p>
    <w:tbl>
      <w:tblPr>
        <w:tblW w:w="9719" w:type="dxa"/>
        <w:tblLayout w:type="fixed"/>
        <w:tblLook w:val="04A0" w:firstRow="1" w:lastRow="0" w:firstColumn="1" w:lastColumn="0" w:noHBand="0" w:noVBand="1"/>
      </w:tblPr>
      <w:tblGrid>
        <w:gridCol w:w="2376"/>
        <w:gridCol w:w="7343"/>
      </w:tblGrid>
      <w:tr w:rsidR="00F5037E" w14:paraId="79C31200" w14:textId="77777777">
        <w:tc>
          <w:tcPr>
            <w:tcW w:w="2376" w:type="dxa"/>
            <w:tcBorders>
              <w:top w:val="nil"/>
              <w:left w:val="nil"/>
              <w:bottom w:val="nil"/>
              <w:right w:val="nil"/>
            </w:tcBorders>
            <w:tcMar>
              <w:top w:w="60" w:type="dxa"/>
              <w:left w:w="60" w:type="dxa"/>
              <w:bottom w:w="60" w:type="dxa"/>
              <w:right w:w="60" w:type="dxa"/>
            </w:tcMar>
          </w:tcPr>
          <w:p w14:paraId="38058160" w14:textId="77777777" w:rsidR="00F5037E" w:rsidRDefault="00752F86">
            <w:pPr>
              <w:jc w:val="center"/>
            </w:pPr>
            <w:r>
              <w:rPr>
                <w:noProof/>
              </w:rPr>
              <w:drawing>
                <wp:inline distT="0" distB="0" distL="0" distR="0" wp14:anchorId="490E836D" wp14:editId="4CD4D712">
                  <wp:extent cx="1325880" cy="7035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a_logo.png"/>
                          <pic:cNvPicPr/>
                        </pic:nvPicPr>
                        <pic:blipFill>
                          <a:blip r:embed="rId8"/>
                          <a:stretch>
                            <a:fillRect/>
                          </a:stretch>
                        </pic:blipFill>
                        <pic:spPr>
                          <a:xfrm>
                            <a:off x="0" y="0"/>
                            <a:ext cx="1325880" cy="703528"/>
                          </a:xfrm>
                          <a:prstGeom prst="rect">
                            <a:avLst/>
                          </a:prstGeom>
                        </pic:spPr>
                      </pic:pic>
                    </a:graphicData>
                  </a:graphic>
                </wp:inline>
              </w:drawing>
            </w:r>
          </w:p>
        </w:tc>
        <w:tc>
          <w:tcPr>
            <w:tcW w:w="7343" w:type="dxa"/>
            <w:tcBorders>
              <w:top w:val="nil"/>
              <w:left w:val="nil"/>
              <w:bottom w:val="nil"/>
              <w:right w:val="nil"/>
            </w:tcBorders>
            <w:tcMar>
              <w:top w:w="60" w:type="dxa"/>
              <w:left w:w="60" w:type="dxa"/>
              <w:bottom w:w="60" w:type="dxa"/>
              <w:right w:w="60" w:type="dxa"/>
            </w:tcMar>
          </w:tcPr>
          <w:p w14:paraId="46410CE7" w14:textId="77777777" w:rsidR="00F5037E" w:rsidRDefault="00752F86">
            <w:pPr>
              <w:spacing w:after="80"/>
            </w:pPr>
            <w:r>
              <w:rPr>
                <w:b/>
                <w:color w:val="1D2754"/>
                <w:sz w:val="30"/>
              </w:rPr>
              <w:t>Michael D. Ray</w:t>
            </w:r>
          </w:p>
          <w:p w14:paraId="4898C944" w14:textId="77777777" w:rsidR="00F5037E" w:rsidRDefault="00752F86">
            <w:pPr>
              <w:spacing w:after="160"/>
            </w:pPr>
            <w:r>
              <w:rPr>
                <w:b/>
                <w:color w:val="4472C4"/>
              </w:rPr>
              <w:t>Founder, Global Mobility Adviser</w:t>
            </w:r>
          </w:p>
          <w:p w14:paraId="286E1D41" w14:textId="77777777" w:rsidR="00F5037E" w:rsidRDefault="00752F86">
            <w:pPr>
              <w:spacing w:after="140" w:line="264" w:lineRule="auto"/>
            </w:pPr>
            <w:r>
              <w:rPr>
                <w:color w:val="333333"/>
                <w:sz w:val="20"/>
              </w:rPr>
              <w:t>Michael’s career in global mobility and global management includes building international operations for a major relocation firm, creating and managing a $350 million global mobility supply chain function, leading a global immigration consulting services firm, managing an intercultural training practice, and leading mobility consulting work for major organizations. A veteran of the U.S. Army, he has also been an entrepreneur in Indonesia, Taiwan, and the United States.</w:t>
            </w:r>
          </w:p>
          <w:p w14:paraId="23652181" w14:textId="77777777" w:rsidR="00F5037E" w:rsidRDefault="00752F86">
            <w:pPr>
              <w:spacing w:after="0" w:line="264" w:lineRule="auto"/>
            </w:pPr>
            <w:r>
              <w:rPr>
                <w:color w:val="333333"/>
                <w:sz w:val="20"/>
              </w:rPr>
              <w:t>Through Global Mobility Adviser, Michael advises organizations on mobility policy, domestic and international relocation, program design, data and HRIS integration, supply-chain selection and management, mobility compensation, and talent practices.</w:t>
            </w:r>
          </w:p>
        </w:tc>
      </w:tr>
    </w:tbl>
    <w:p w14:paraId="4B96766C" w14:textId="77777777" w:rsidR="00F5037E" w:rsidRDefault="00752F86">
      <w:pPr>
        <w:pStyle w:val="Heading2"/>
        <w:spacing w:before="160" w:after="80"/>
      </w:pPr>
      <w:r>
        <w:rPr>
          <w:rFonts w:ascii="Arial" w:hAnsi="Arial"/>
        </w:rPr>
        <w:t>Contact</w:t>
      </w:r>
    </w:p>
    <w:p w14:paraId="6649E0C7" w14:textId="77777777" w:rsidR="00F5037E" w:rsidRDefault="00752F86">
      <w:r>
        <w:rPr>
          <w:b/>
          <w:color w:val="1D2754"/>
        </w:rPr>
        <w:t>Michael D. Ray</w:t>
      </w:r>
      <w:r>
        <w:rPr>
          <w:b/>
          <w:color w:val="1D2754"/>
        </w:rPr>
        <w:br/>
      </w:r>
      <w:hyperlink r:id="rId14">
        <w:r>
          <w:rPr>
            <w:color w:val="4472C4"/>
            <w:u w:val="single"/>
          </w:rPr>
          <w:t>Michael@globalmobilityadviser.com</w:t>
        </w:r>
      </w:hyperlink>
      <w:r>
        <w:rPr>
          <w:color w:val="333333"/>
        </w:rPr>
        <w:br/>
        <w:t>+1 623 824-1704</w:t>
      </w:r>
      <w:r>
        <w:rPr>
          <w:color w:val="333333"/>
        </w:rPr>
        <w:br/>
      </w:r>
      <w:hyperlink r:id="rId15">
        <w:r>
          <w:rPr>
            <w:color w:val="4472C4"/>
            <w:u w:val="single"/>
          </w:rPr>
          <w:t>www.globalmobilityadviser.com</w:t>
        </w:r>
      </w:hyperlink>
    </w:p>
    <w:p w14:paraId="3B412070" w14:textId="77777777" w:rsidR="00F5037E" w:rsidRDefault="00F5037E">
      <w:pPr>
        <w:spacing w:after="0"/>
      </w:pPr>
    </w:p>
    <w:sectPr w:rsidR="00F5037E" w:rsidSect="00034616">
      <w:headerReference w:type="default" r:id="rId16"/>
      <w:footerReference w:type="default" r:id="rId17"/>
      <w:pgSz w:w="12240" w:h="15840"/>
      <w:pgMar w:top="1037" w:right="1123" w:bottom="979" w:left="1123" w:header="403"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E358" w14:textId="77777777" w:rsidR="00CA7D85" w:rsidRDefault="00CA7D85">
      <w:pPr>
        <w:spacing w:after="0" w:line="240" w:lineRule="auto"/>
      </w:pPr>
      <w:r>
        <w:separator/>
      </w:r>
    </w:p>
  </w:endnote>
  <w:endnote w:type="continuationSeparator" w:id="0">
    <w:p w14:paraId="2948980E" w14:textId="77777777" w:rsidR="00CA7D85" w:rsidRDefault="00CA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90124" w14:textId="77777777" w:rsidR="00F5037E" w:rsidRDefault="00F5037E">
    <w:pPr>
      <w:pStyle w:val="Footer"/>
      <w:jc w:val="center"/>
    </w:pPr>
    <w:hyperlink r:id="rId1">
      <w:r>
        <w:rPr>
          <w:color w:val="4472C4"/>
        </w:rPr>
        <w:t>www.globalmobilityadviser.com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44C2" w14:textId="77777777" w:rsidR="00F5037E" w:rsidRDefault="00F5037E"/>
  <w:tbl>
    <w:tblPr>
      <w:tblW w:w="9993" w:type="dxa"/>
      <w:tblLayout w:type="fixed"/>
      <w:tblLook w:val="04A0" w:firstRow="1" w:lastRow="0" w:firstColumn="1" w:lastColumn="0" w:noHBand="0" w:noVBand="1"/>
    </w:tblPr>
    <w:tblGrid>
      <w:gridCol w:w="3744"/>
      <w:gridCol w:w="3456"/>
      <w:gridCol w:w="2793"/>
    </w:tblGrid>
    <w:tr w:rsidR="00F5037E" w14:paraId="02786363" w14:textId="77777777">
      <w:tc>
        <w:tcPr>
          <w:tcW w:w="3744" w:type="dxa"/>
          <w:tcBorders>
            <w:top w:val="single" w:sz="4" w:space="0" w:color="B7C3D0"/>
            <w:left w:val="nil"/>
            <w:bottom w:val="nil"/>
            <w:right w:val="nil"/>
          </w:tcBorders>
          <w:tcMar>
            <w:top w:w="50" w:type="dxa"/>
            <w:left w:w="0" w:type="dxa"/>
            <w:bottom w:w="0" w:type="dxa"/>
            <w:right w:w="0" w:type="dxa"/>
          </w:tcMar>
        </w:tcPr>
        <w:p w14:paraId="2C98CD80" w14:textId="77777777" w:rsidR="00F5037E" w:rsidRDefault="00F5037E">
          <w:hyperlink r:id="rId1">
            <w:r>
              <w:rPr>
                <w:color w:val="4472C4"/>
              </w:rPr>
              <w:t>globalmobilityadviser.com</w:t>
            </w:r>
          </w:hyperlink>
        </w:p>
      </w:tc>
      <w:tc>
        <w:tcPr>
          <w:tcW w:w="3456" w:type="dxa"/>
          <w:tcBorders>
            <w:top w:val="single" w:sz="4" w:space="0" w:color="B7C3D0"/>
            <w:left w:val="nil"/>
            <w:bottom w:val="nil"/>
            <w:right w:val="nil"/>
          </w:tcBorders>
          <w:tcMar>
            <w:top w:w="50" w:type="dxa"/>
            <w:left w:w="0" w:type="dxa"/>
            <w:bottom w:w="0" w:type="dxa"/>
            <w:right w:w="0" w:type="dxa"/>
          </w:tcMar>
        </w:tcPr>
        <w:p w14:paraId="7D106743" w14:textId="77777777" w:rsidR="00F5037E" w:rsidRDefault="00752F86">
          <w:pPr>
            <w:jc w:val="center"/>
          </w:pPr>
          <w:r>
            <w:rPr>
              <w:color w:val="666666"/>
              <w:sz w:val="15"/>
            </w:rPr>
            <w:t>Before the Template</w:t>
          </w:r>
        </w:p>
      </w:tc>
      <w:tc>
        <w:tcPr>
          <w:tcW w:w="2793" w:type="dxa"/>
          <w:tcBorders>
            <w:top w:val="single" w:sz="4" w:space="0" w:color="B7C3D0"/>
            <w:left w:val="nil"/>
            <w:bottom w:val="nil"/>
            <w:right w:val="nil"/>
          </w:tcBorders>
          <w:tcMar>
            <w:top w:w="50" w:type="dxa"/>
            <w:left w:w="0" w:type="dxa"/>
            <w:bottom w:w="0" w:type="dxa"/>
            <w:right w:w="0" w:type="dxa"/>
          </w:tcMar>
        </w:tcPr>
        <w:p w14:paraId="79566548" w14:textId="77777777" w:rsidR="00F5037E" w:rsidRDefault="00752F86">
          <w:pPr>
            <w:jc w:val="right"/>
          </w:pPr>
          <w:r>
            <w:rPr>
              <w:color w:val="666666"/>
              <w:sz w:val="16"/>
            </w:rPr>
            <w:fldChar w:fldCharType="begin"/>
          </w:r>
          <w:r>
            <w:rPr>
              <w:color w:val="666666"/>
              <w:sz w:val="16"/>
            </w:rPr>
            <w:instrText xml:space="preserve"> PAGE </w:instrText>
          </w:r>
          <w:r>
            <w:rPr>
              <w:color w:val="666666"/>
              <w:sz w:val="16"/>
            </w:rPr>
            <w:fldChar w:fldCharType="separate"/>
          </w:r>
          <w:r w:rsidR="008C37A5">
            <w:rPr>
              <w:noProof/>
              <w:color w:val="666666"/>
              <w:sz w:val="16"/>
            </w:rPr>
            <w:t>2</w:t>
          </w:r>
          <w:r>
            <w:rPr>
              <w:color w:val="666666"/>
              <w:sz w:val="16"/>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8EFF" w14:textId="77777777" w:rsidR="00F5037E" w:rsidRDefault="00F5037E"/>
  <w:tbl>
    <w:tblPr>
      <w:tblW w:w="9993" w:type="dxa"/>
      <w:tblLayout w:type="fixed"/>
      <w:tblLook w:val="04A0" w:firstRow="1" w:lastRow="0" w:firstColumn="1" w:lastColumn="0" w:noHBand="0" w:noVBand="1"/>
    </w:tblPr>
    <w:tblGrid>
      <w:gridCol w:w="3744"/>
      <w:gridCol w:w="3456"/>
      <w:gridCol w:w="2793"/>
    </w:tblGrid>
    <w:tr w:rsidR="00F5037E" w14:paraId="7BF4030F" w14:textId="77777777">
      <w:tc>
        <w:tcPr>
          <w:tcW w:w="3744" w:type="dxa"/>
          <w:tcBorders>
            <w:top w:val="single" w:sz="4" w:space="0" w:color="B7C3D0"/>
            <w:left w:val="nil"/>
            <w:bottom w:val="nil"/>
            <w:right w:val="nil"/>
          </w:tcBorders>
          <w:tcMar>
            <w:top w:w="50" w:type="dxa"/>
            <w:left w:w="0" w:type="dxa"/>
            <w:bottom w:w="0" w:type="dxa"/>
            <w:right w:w="0" w:type="dxa"/>
          </w:tcMar>
        </w:tcPr>
        <w:p w14:paraId="5474A32E" w14:textId="77777777" w:rsidR="00F5037E" w:rsidRDefault="00F5037E">
          <w:hyperlink r:id="rId1">
            <w:r>
              <w:rPr>
                <w:color w:val="4472C4"/>
              </w:rPr>
              <w:t>globalmobilityadviser.com</w:t>
            </w:r>
          </w:hyperlink>
        </w:p>
      </w:tc>
      <w:tc>
        <w:tcPr>
          <w:tcW w:w="3456" w:type="dxa"/>
          <w:tcBorders>
            <w:top w:val="single" w:sz="4" w:space="0" w:color="B7C3D0"/>
            <w:left w:val="nil"/>
            <w:bottom w:val="nil"/>
            <w:right w:val="nil"/>
          </w:tcBorders>
          <w:tcMar>
            <w:top w:w="50" w:type="dxa"/>
            <w:left w:w="0" w:type="dxa"/>
            <w:bottom w:w="0" w:type="dxa"/>
            <w:right w:w="0" w:type="dxa"/>
          </w:tcMar>
        </w:tcPr>
        <w:p w14:paraId="19A4EDAF" w14:textId="77777777" w:rsidR="00F5037E" w:rsidRDefault="00752F86">
          <w:pPr>
            <w:jc w:val="center"/>
          </w:pPr>
          <w:r>
            <w:rPr>
              <w:color w:val="666666"/>
              <w:sz w:val="15"/>
            </w:rPr>
            <w:t>Before the Template</w:t>
          </w:r>
        </w:p>
      </w:tc>
      <w:tc>
        <w:tcPr>
          <w:tcW w:w="2793" w:type="dxa"/>
          <w:tcBorders>
            <w:top w:val="single" w:sz="4" w:space="0" w:color="B7C3D0"/>
            <w:left w:val="nil"/>
            <w:bottom w:val="nil"/>
            <w:right w:val="nil"/>
          </w:tcBorders>
          <w:tcMar>
            <w:top w:w="50" w:type="dxa"/>
            <w:left w:w="0" w:type="dxa"/>
            <w:bottom w:w="0" w:type="dxa"/>
            <w:right w:w="0" w:type="dxa"/>
          </w:tcMar>
        </w:tcPr>
        <w:p w14:paraId="673F2179" w14:textId="77777777" w:rsidR="00F5037E" w:rsidRDefault="00752F86">
          <w:pPr>
            <w:jc w:val="right"/>
          </w:pPr>
          <w:r>
            <w:rPr>
              <w:color w:val="666666"/>
              <w:sz w:val="16"/>
            </w:rPr>
            <w:fldChar w:fldCharType="begin"/>
          </w:r>
          <w:r>
            <w:rPr>
              <w:color w:val="666666"/>
              <w:sz w:val="16"/>
            </w:rPr>
            <w:instrText xml:space="preserve"> PAGE </w:instrText>
          </w:r>
          <w:r>
            <w:rPr>
              <w:color w:val="666666"/>
              <w:sz w:val="16"/>
            </w:rPr>
            <w:fldChar w:fldCharType="separate"/>
          </w:r>
          <w:r w:rsidR="008C37A5">
            <w:rPr>
              <w:noProof/>
              <w:color w:val="666666"/>
              <w:sz w:val="16"/>
            </w:rPr>
            <w:t>13</w:t>
          </w:r>
          <w:r>
            <w:rPr>
              <w:color w:val="666666"/>
              <w:sz w:val="16"/>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45796" w14:textId="77777777" w:rsidR="00F5037E" w:rsidRDefault="00F5037E"/>
  <w:tbl>
    <w:tblPr>
      <w:tblW w:w="9993" w:type="dxa"/>
      <w:tblLayout w:type="fixed"/>
      <w:tblLook w:val="04A0" w:firstRow="1" w:lastRow="0" w:firstColumn="1" w:lastColumn="0" w:noHBand="0" w:noVBand="1"/>
    </w:tblPr>
    <w:tblGrid>
      <w:gridCol w:w="3744"/>
      <w:gridCol w:w="3456"/>
      <w:gridCol w:w="2793"/>
    </w:tblGrid>
    <w:tr w:rsidR="00F5037E" w14:paraId="68927504" w14:textId="77777777">
      <w:tc>
        <w:tcPr>
          <w:tcW w:w="3744" w:type="dxa"/>
          <w:tcBorders>
            <w:top w:val="single" w:sz="4" w:space="0" w:color="B7C3D0"/>
            <w:left w:val="nil"/>
            <w:bottom w:val="nil"/>
            <w:right w:val="nil"/>
          </w:tcBorders>
          <w:tcMar>
            <w:top w:w="50" w:type="dxa"/>
            <w:left w:w="0" w:type="dxa"/>
            <w:bottom w:w="0" w:type="dxa"/>
            <w:right w:w="0" w:type="dxa"/>
          </w:tcMar>
        </w:tcPr>
        <w:p w14:paraId="7420F70C" w14:textId="77777777" w:rsidR="00F5037E" w:rsidRDefault="00F5037E">
          <w:hyperlink r:id="rId1">
            <w:r>
              <w:rPr>
                <w:color w:val="4472C4"/>
              </w:rPr>
              <w:t>globalmobilityadviser.com</w:t>
            </w:r>
          </w:hyperlink>
        </w:p>
      </w:tc>
      <w:tc>
        <w:tcPr>
          <w:tcW w:w="3456" w:type="dxa"/>
          <w:tcBorders>
            <w:top w:val="single" w:sz="4" w:space="0" w:color="B7C3D0"/>
            <w:left w:val="nil"/>
            <w:bottom w:val="nil"/>
            <w:right w:val="nil"/>
          </w:tcBorders>
          <w:tcMar>
            <w:top w:w="50" w:type="dxa"/>
            <w:left w:w="0" w:type="dxa"/>
            <w:bottom w:w="0" w:type="dxa"/>
            <w:right w:w="0" w:type="dxa"/>
          </w:tcMar>
        </w:tcPr>
        <w:p w14:paraId="2FB2743B" w14:textId="77777777" w:rsidR="00F5037E" w:rsidRDefault="00752F86">
          <w:pPr>
            <w:jc w:val="center"/>
          </w:pPr>
          <w:r>
            <w:rPr>
              <w:color w:val="666666"/>
              <w:sz w:val="15"/>
            </w:rPr>
            <w:t>Before the Template</w:t>
          </w:r>
        </w:p>
      </w:tc>
      <w:tc>
        <w:tcPr>
          <w:tcW w:w="2793" w:type="dxa"/>
          <w:tcBorders>
            <w:top w:val="single" w:sz="4" w:space="0" w:color="B7C3D0"/>
            <w:left w:val="nil"/>
            <w:bottom w:val="nil"/>
            <w:right w:val="nil"/>
          </w:tcBorders>
          <w:tcMar>
            <w:top w:w="50" w:type="dxa"/>
            <w:left w:w="0" w:type="dxa"/>
            <w:bottom w:w="0" w:type="dxa"/>
            <w:right w:w="0" w:type="dxa"/>
          </w:tcMar>
        </w:tcPr>
        <w:p w14:paraId="6C21D26C" w14:textId="77777777" w:rsidR="00F5037E" w:rsidRDefault="00752F86">
          <w:pPr>
            <w:jc w:val="right"/>
          </w:pPr>
          <w:r>
            <w:rPr>
              <w:color w:val="666666"/>
              <w:sz w:val="16"/>
            </w:rPr>
            <w:fldChar w:fldCharType="begin"/>
          </w:r>
          <w:r>
            <w:rPr>
              <w:color w:val="666666"/>
              <w:sz w:val="16"/>
            </w:rPr>
            <w:instrText xml:space="preserve"> PAGE </w:instrText>
          </w:r>
          <w:r>
            <w:rPr>
              <w:color w:val="666666"/>
              <w:sz w:val="16"/>
            </w:rPr>
            <w:fldChar w:fldCharType="separate"/>
          </w:r>
          <w:r w:rsidR="008C37A5">
            <w:rPr>
              <w:noProof/>
              <w:color w:val="666666"/>
              <w:sz w:val="16"/>
            </w:rPr>
            <w:t>16</w:t>
          </w:r>
          <w:r>
            <w:rPr>
              <w:color w:val="666666"/>
              <w:sz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7177F" w14:textId="77777777" w:rsidR="00CA7D85" w:rsidRDefault="00CA7D85">
      <w:pPr>
        <w:spacing w:after="0" w:line="240" w:lineRule="auto"/>
      </w:pPr>
      <w:r>
        <w:separator/>
      </w:r>
    </w:p>
  </w:footnote>
  <w:footnote w:type="continuationSeparator" w:id="0">
    <w:p w14:paraId="1A04A488" w14:textId="77777777" w:rsidR="00CA7D85" w:rsidRDefault="00CA7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4B92" w14:textId="77777777" w:rsidR="00F5037E" w:rsidRDefault="00F5037E"/>
  <w:tbl>
    <w:tblPr>
      <w:tblW w:w="9993" w:type="dxa"/>
      <w:tblLayout w:type="fixed"/>
      <w:tblLook w:val="04A0" w:firstRow="1" w:lastRow="0" w:firstColumn="1" w:lastColumn="0" w:noHBand="0" w:noVBand="1"/>
    </w:tblPr>
    <w:tblGrid>
      <w:gridCol w:w="7056"/>
      <w:gridCol w:w="2937"/>
    </w:tblGrid>
    <w:tr w:rsidR="00F5037E" w14:paraId="128D1DEA" w14:textId="77777777">
      <w:tc>
        <w:tcPr>
          <w:tcW w:w="7056" w:type="dxa"/>
          <w:tcBorders>
            <w:top w:val="nil"/>
            <w:left w:val="nil"/>
            <w:bottom w:val="single" w:sz="6" w:space="0" w:color="27A9D6"/>
            <w:right w:val="nil"/>
          </w:tcBorders>
          <w:tcMar>
            <w:top w:w="0" w:type="dxa"/>
            <w:left w:w="0" w:type="dxa"/>
            <w:bottom w:w="45" w:type="dxa"/>
            <w:right w:w="0" w:type="dxa"/>
          </w:tcMar>
        </w:tcPr>
        <w:p w14:paraId="7CCD01E4" w14:textId="77777777" w:rsidR="00F5037E" w:rsidRDefault="00752F86">
          <w:r>
            <w:rPr>
              <w:b/>
              <w:color w:val="1D2754"/>
              <w:sz w:val="15"/>
            </w:rPr>
            <w:t>GLOBAL MOBILITY ADVISER</w:t>
          </w:r>
        </w:p>
      </w:tc>
      <w:tc>
        <w:tcPr>
          <w:tcW w:w="2937" w:type="dxa"/>
          <w:tcBorders>
            <w:top w:val="nil"/>
            <w:left w:val="nil"/>
            <w:bottom w:val="single" w:sz="6" w:space="0" w:color="27A9D6"/>
            <w:right w:val="nil"/>
          </w:tcBorders>
          <w:tcMar>
            <w:top w:w="0" w:type="dxa"/>
            <w:left w:w="0" w:type="dxa"/>
            <w:bottom w:w="45" w:type="dxa"/>
            <w:right w:w="0" w:type="dxa"/>
          </w:tcMar>
        </w:tcPr>
        <w:p w14:paraId="5FCE9092" w14:textId="77777777" w:rsidR="00F5037E" w:rsidRDefault="00535CEB">
          <w:pPr>
            <w:jc w:val="right"/>
          </w:pPr>
          <w:r>
            <w:rPr>
              <w:b/>
              <w:color w:val="666666"/>
              <w:sz w:val="14"/>
            </w:rPr>
            <w:t>AUGUST 2026</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2D6F8" w14:textId="77777777" w:rsidR="00F5037E" w:rsidRDefault="00F5037E"/>
  <w:tbl>
    <w:tblPr>
      <w:tblW w:w="9993" w:type="dxa"/>
      <w:tblLayout w:type="fixed"/>
      <w:tblLook w:val="04A0" w:firstRow="1" w:lastRow="0" w:firstColumn="1" w:lastColumn="0" w:noHBand="0" w:noVBand="1"/>
    </w:tblPr>
    <w:tblGrid>
      <w:gridCol w:w="7056"/>
      <w:gridCol w:w="2937"/>
    </w:tblGrid>
    <w:tr w:rsidR="00F5037E" w14:paraId="1B43EAEC" w14:textId="77777777">
      <w:tc>
        <w:tcPr>
          <w:tcW w:w="7056" w:type="dxa"/>
          <w:tcBorders>
            <w:top w:val="nil"/>
            <w:left w:val="nil"/>
            <w:bottom w:val="single" w:sz="6" w:space="0" w:color="27A9D6"/>
            <w:right w:val="nil"/>
          </w:tcBorders>
          <w:tcMar>
            <w:top w:w="0" w:type="dxa"/>
            <w:left w:w="0" w:type="dxa"/>
            <w:bottom w:w="45" w:type="dxa"/>
            <w:right w:w="0" w:type="dxa"/>
          </w:tcMar>
        </w:tcPr>
        <w:p w14:paraId="4E9DC468" w14:textId="77777777" w:rsidR="00F5037E" w:rsidRDefault="00752F86">
          <w:r>
            <w:rPr>
              <w:b/>
              <w:color w:val="1D2754"/>
              <w:sz w:val="15"/>
            </w:rPr>
            <w:t>GLOBAL MOBILITY ADVISER</w:t>
          </w:r>
        </w:p>
      </w:tc>
      <w:tc>
        <w:tcPr>
          <w:tcW w:w="2937" w:type="dxa"/>
          <w:tcBorders>
            <w:top w:val="nil"/>
            <w:left w:val="nil"/>
            <w:bottom w:val="single" w:sz="6" w:space="0" w:color="27A9D6"/>
            <w:right w:val="nil"/>
          </w:tcBorders>
          <w:tcMar>
            <w:top w:w="0" w:type="dxa"/>
            <w:left w:w="0" w:type="dxa"/>
            <w:bottom w:w="45" w:type="dxa"/>
            <w:right w:w="0" w:type="dxa"/>
          </w:tcMar>
        </w:tcPr>
        <w:p w14:paraId="15849B3B" w14:textId="77777777" w:rsidR="00F5037E" w:rsidRDefault="00752F86">
          <w:pPr>
            <w:jc w:val="right"/>
          </w:pPr>
          <w:r>
            <w:rPr>
              <w:b/>
              <w:color w:val="666666"/>
              <w:sz w:val="14"/>
            </w:rPr>
            <w:t>AUGUST 2026</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42C24" w14:textId="77777777" w:rsidR="00F5037E" w:rsidRDefault="00F5037E"/>
  <w:tbl>
    <w:tblPr>
      <w:tblW w:w="9993" w:type="dxa"/>
      <w:tblLayout w:type="fixed"/>
      <w:tblLook w:val="04A0" w:firstRow="1" w:lastRow="0" w:firstColumn="1" w:lastColumn="0" w:noHBand="0" w:noVBand="1"/>
    </w:tblPr>
    <w:tblGrid>
      <w:gridCol w:w="7056"/>
      <w:gridCol w:w="2937"/>
    </w:tblGrid>
    <w:tr w:rsidR="00F5037E" w14:paraId="719D383F" w14:textId="77777777">
      <w:tc>
        <w:tcPr>
          <w:tcW w:w="7056" w:type="dxa"/>
          <w:tcBorders>
            <w:top w:val="nil"/>
            <w:left w:val="nil"/>
            <w:bottom w:val="single" w:sz="6" w:space="0" w:color="27A9D6"/>
            <w:right w:val="nil"/>
          </w:tcBorders>
          <w:tcMar>
            <w:top w:w="0" w:type="dxa"/>
            <w:left w:w="0" w:type="dxa"/>
            <w:bottom w:w="45" w:type="dxa"/>
            <w:right w:w="0" w:type="dxa"/>
          </w:tcMar>
        </w:tcPr>
        <w:p w14:paraId="404E433C" w14:textId="77777777" w:rsidR="00F5037E" w:rsidRDefault="00752F86">
          <w:r>
            <w:rPr>
              <w:b/>
              <w:color w:val="1D2754"/>
              <w:sz w:val="15"/>
            </w:rPr>
            <w:t>GLOBAL MOBILITY ADVISER</w:t>
          </w:r>
        </w:p>
      </w:tc>
      <w:tc>
        <w:tcPr>
          <w:tcW w:w="2937" w:type="dxa"/>
          <w:tcBorders>
            <w:top w:val="nil"/>
            <w:left w:val="nil"/>
            <w:bottom w:val="single" w:sz="6" w:space="0" w:color="27A9D6"/>
            <w:right w:val="nil"/>
          </w:tcBorders>
          <w:tcMar>
            <w:top w:w="0" w:type="dxa"/>
            <w:left w:w="0" w:type="dxa"/>
            <w:bottom w:w="45" w:type="dxa"/>
            <w:right w:w="0" w:type="dxa"/>
          </w:tcMar>
        </w:tcPr>
        <w:p w14:paraId="15762CB1" w14:textId="77777777" w:rsidR="00F5037E" w:rsidRDefault="00752F86">
          <w:pPr>
            <w:jc w:val="right"/>
          </w:pPr>
          <w:r>
            <w:rPr>
              <w:b/>
              <w:color w:val="666666"/>
              <w:sz w:val="14"/>
            </w:rPr>
            <w:t>AUGUST 2026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8169712">
    <w:abstractNumId w:val="8"/>
  </w:num>
  <w:num w:numId="2" w16cid:durableId="508644617">
    <w:abstractNumId w:val="6"/>
  </w:num>
  <w:num w:numId="3" w16cid:durableId="1697074389">
    <w:abstractNumId w:val="5"/>
  </w:num>
  <w:num w:numId="4" w16cid:durableId="512693732">
    <w:abstractNumId w:val="4"/>
  </w:num>
  <w:num w:numId="5" w16cid:durableId="437065469">
    <w:abstractNumId w:val="7"/>
  </w:num>
  <w:num w:numId="6" w16cid:durableId="1862352724">
    <w:abstractNumId w:val="3"/>
  </w:num>
  <w:num w:numId="7" w16cid:durableId="610479601">
    <w:abstractNumId w:val="2"/>
  </w:num>
  <w:num w:numId="8" w16cid:durableId="580406384">
    <w:abstractNumId w:val="1"/>
  </w:num>
  <w:num w:numId="9" w16cid:durableId="713189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F44"/>
    <w:rsid w:val="00067CA4"/>
    <w:rsid w:val="0015074B"/>
    <w:rsid w:val="00172DA2"/>
    <w:rsid w:val="00196FC8"/>
    <w:rsid w:val="001E4EB9"/>
    <w:rsid w:val="00250517"/>
    <w:rsid w:val="0029639D"/>
    <w:rsid w:val="002A0484"/>
    <w:rsid w:val="002C6107"/>
    <w:rsid w:val="00320549"/>
    <w:rsid w:val="00326F90"/>
    <w:rsid w:val="00385CE2"/>
    <w:rsid w:val="003F3C64"/>
    <w:rsid w:val="003F5A93"/>
    <w:rsid w:val="004D070C"/>
    <w:rsid w:val="00506119"/>
    <w:rsid w:val="00535CEB"/>
    <w:rsid w:val="005443F0"/>
    <w:rsid w:val="00591EB1"/>
    <w:rsid w:val="006A501E"/>
    <w:rsid w:val="00721D53"/>
    <w:rsid w:val="00752F86"/>
    <w:rsid w:val="008371ED"/>
    <w:rsid w:val="0088717F"/>
    <w:rsid w:val="008C37A5"/>
    <w:rsid w:val="009200F8"/>
    <w:rsid w:val="0098212D"/>
    <w:rsid w:val="00986767"/>
    <w:rsid w:val="00A13F9C"/>
    <w:rsid w:val="00A21A29"/>
    <w:rsid w:val="00A93929"/>
    <w:rsid w:val="00A96ED9"/>
    <w:rsid w:val="00AA0A22"/>
    <w:rsid w:val="00AA1D8D"/>
    <w:rsid w:val="00B47730"/>
    <w:rsid w:val="00BA15C1"/>
    <w:rsid w:val="00CA7D85"/>
    <w:rsid w:val="00CB0664"/>
    <w:rsid w:val="00CB08CF"/>
    <w:rsid w:val="00CD17F8"/>
    <w:rsid w:val="00D33578"/>
    <w:rsid w:val="00D467E4"/>
    <w:rsid w:val="00D942E6"/>
    <w:rsid w:val="00DA1788"/>
    <w:rsid w:val="00E22118"/>
    <w:rsid w:val="00EC7D22"/>
    <w:rsid w:val="00F5037E"/>
    <w:rsid w:val="00F834A4"/>
    <w:rsid w:val="00FC086B"/>
    <w:rsid w:val="00FC693F"/>
    <w:rsid w:val="00FF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B3E070"/>
  <w14:defaultImageDpi w14:val="300"/>
  <w15:docId w15:val="{E567E262-B27D-4DFB-9CDC-5A492013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9"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D275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472C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D275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D2754"/>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20"/>
    </w:rPr>
  </w:style>
  <w:style w:type="paragraph" w:styleId="ListBullet2">
    <w:name w:val="List Bullet 2"/>
    <w:basedOn w:val="Normal"/>
    <w:uiPriority w:val="99"/>
    <w:unhideWhenUsed/>
    <w:rsid w:val="00326F90"/>
    <w:pPr>
      <w:numPr>
        <w:numId w:val="2"/>
      </w:numPr>
      <w:contextualSpacing/>
    </w:pPr>
    <w:rPr>
      <w:sz w:val="2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lobalmobilityadviser.com"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ichael@globalmobilityadvise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globalmobilityadviser.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globalmobilityadviser.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lobalmobilityadviser.com"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globalmobilityadvis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9006</Words>
  <Characters>51337</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60223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Template: How to Build a Mobility Policy That Actually Works</dc:title>
  <dc:subject>Global mobility policy design white paper</dc:subject>
  <dc:creator>Michael D. Ray</dc:creator>
  <cp:keywords>global mobility, relocation policy, mobility policy, benchmarking, HR</cp:keywords>
  <dc:description>Working draft prepared for review and editing.</dc:description>
  <cp:lastModifiedBy>Michael Ray</cp:lastModifiedBy>
  <cp:revision>2</cp:revision>
  <dcterms:created xsi:type="dcterms:W3CDTF">2026-08-04T22:44:00Z</dcterms:created>
  <dcterms:modified xsi:type="dcterms:W3CDTF">2026-08-04T22:44:00Z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0ecfd51c-5984-4953-ad17-abc4aeac2ac3</vt:lpwstr>
  </property>
</Properties>
</file>